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91"/>
        <w:gridCol w:w="2907"/>
        <w:gridCol w:w="2781"/>
        <w:gridCol w:w="2097"/>
      </w:tblGrid>
      <w:tr w:rsidR="004366EC" w:rsidTr="00F83A65">
        <w:tc>
          <w:tcPr>
            <w:tcW w:w="1791" w:type="dxa"/>
            <w:shd w:val="clear" w:color="auto" w:fill="D9D9D9" w:themeFill="background1" w:themeFillShade="D9"/>
          </w:tcPr>
          <w:p w:rsidR="004366EC" w:rsidRDefault="00013D43">
            <w:bookmarkStart w:id="0" w:name="_GoBack"/>
            <w:bookmarkEnd w:id="0"/>
            <w:r>
              <w:t>Universal Layer</w:t>
            </w:r>
          </w:p>
        </w:tc>
        <w:tc>
          <w:tcPr>
            <w:tcW w:w="2907" w:type="dxa"/>
            <w:shd w:val="clear" w:color="auto" w:fill="D9D9D9" w:themeFill="background1" w:themeFillShade="D9"/>
          </w:tcPr>
          <w:p w:rsidR="004366EC" w:rsidRDefault="004366EC">
            <w:r>
              <w:t>Literacy</w:t>
            </w:r>
          </w:p>
        </w:tc>
        <w:tc>
          <w:tcPr>
            <w:tcW w:w="2781" w:type="dxa"/>
            <w:shd w:val="clear" w:color="auto" w:fill="D9D9D9" w:themeFill="background1" w:themeFillShade="D9"/>
          </w:tcPr>
          <w:p w:rsidR="004366EC" w:rsidRDefault="004366EC">
            <w:r>
              <w:t>Math</w:t>
            </w:r>
          </w:p>
        </w:tc>
        <w:tc>
          <w:tcPr>
            <w:tcW w:w="2097" w:type="dxa"/>
            <w:shd w:val="clear" w:color="auto" w:fill="D9D9D9" w:themeFill="background1" w:themeFillShade="D9"/>
          </w:tcPr>
          <w:p w:rsidR="004366EC" w:rsidRDefault="00B87AA9">
            <w:r>
              <w:t>Cut-Offs/</w:t>
            </w:r>
            <w:r w:rsidR="00013D43">
              <w:t>Thresholds</w:t>
            </w:r>
          </w:p>
        </w:tc>
      </w:tr>
      <w:tr w:rsidR="00EE7363" w:rsidTr="00DC0866">
        <w:trPr>
          <w:trHeight w:val="3581"/>
        </w:trPr>
        <w:tc>
          <w:tcPr>
            <w:tcW w:w="1791" w:type="dxa"/>
          </w:tcPr>
          <w:p w:rsidR="00EE7363" w:rsidRDefault="00EE7363"/>
        </w:tc>
        <w:tc>
          <w:tcPr>
            <w:tcW w:w="2907" w:type="dxa"/>
          </w:tcPr>
          <w:p w:rsidR="000E4D73" w:rsidRDefault="00E979E4" w:rsidP="001D05C2">
            <w:r>
              <w:t xml:space="preserve">DORF at </w:t>
            </w:r>
            <w:r w:rsidR="00A8210B">
              <w:t>90</w:t>
            </w:r>
            <w:r w:rsidR="00A8210B" w:rsidRPr="00A8210B">
              <w:rPr>
                <w:vertAlign w:val="superscript"/>
              </w:rPr>
              <w:t>th</w:t>
            </w:r>
            <w:r w:rsidR="00A8210B">
              <w:t xml:space="preserve"> %ile or above</w:t>
            </w:r>
          </w:p>
          <w:p w:rsidR="00B12C2C" w:rsidRDefault="00B12C2C" w:rsidP="001D05C2"/>
          <w:p w:rsidR="00EE7363" w:rsidRDefault="001D05C2" w:rsidP="001666B0">
            <w:r>
              <w:t xml:space="preserve">DAZE </w:t>
            </w:r>
            <w:r w:rsidR="000E4D73">
              <w:t>- 90</w:t>
            </w:r>
            <w:r w:rsidR="000E4D73" w:rsidRPr="00A8210B">
              <w:rPr>
                <w:vertAlign w:val="superscript"/>
              </w:rPr>
              <w:t>th</w:t>
            </w:r>
            <w:r w:rsidR="000E4D73">
              <w:t xml:space="preserve"> %ile or above</w:t>
            </w:r>
          </w:p>
          <w:p w:rsidR="00EE7363" w:rsidRDefault="00EE7363" w:rsidP="001666B0"/>
          <w:p w:rsidR="00EE7363" w:rsidRDefault="007D51B1" w:rsidP="001666B0">
            <w:r>
              <w:t>Intermediate</w:t>
            </w:r>
            <w:r w:rsidR="003A51DA">
              <w:t xml:space="preserve"> Spelling Inventory</w:t>
            </w:r>
            <w:r w:rsidR="00EE7363">
              <w:t>–</w:t>
            </w:r>
            <w:r w:rsidR="005F671D">
              <w:t>Advanced per the Words their Way Feature Point Break Down.</w:t>
            </w:r>
          </w:p>
          <w:p w:rsidR="008718D7" w:rsidRDefault="008718D7" w:rsidP="001666B0"/>
          <w:p w:rsidR="00EE7363" w:rsidRDefault="00927328" w:rsidP="00DC0866">
            <w:r>
              <w:t xml:space="preserve">4Sight – </w:t>
            </w:r>
            <w:r w:rsidR="00710DD9">
              <w:t>90</w:t>
            </w:r>
            <w:r w:rsidR="00710DD9" w:rsidRPr="00710DD9">
              <w:rPr>
                <w:vertAlign w:val="superscript"/>
              </w:rPr>
              <w:t>th</w:t>
            </w:r>
            <w:r w:rsidR="00710DD9">
              <w:t>%ile</w:t>
            </w:r>
          </w:p>
          <w:p w:rsidR="000E4D73" w:rsidRDefault="000E4D73" w:rsidP="00DC0866">
            <w:r>
              <w:t>With full credit for Open Ended Response</w:t>
            </w:r>
          </w:p>
        </w:tc>
        <w:tc>
          <w:tcPr>
            <w:tcW w:w="2781" w:type="dxa"/>
          </w:tcPr>
          <w:p w:rsidR="001D05C2" w:rsidRDefault="00EE7363" w:rsidP="001D05C2">
            <w:r>
              <w:t>E</w:t>
            </w:r>
            <w:r w:rsidR="006539D6">
              <w:t>D</w:t>
            </w:r>
            <w:r>
              <w:t>M –</w:t>
            </w:r>
            <w:r w:rsidR="001D05C2">
              <w:t>If student scores at least a 93% on Part A, then Part B will be  scored and a student will need to meet the cut-off of</w:t>
            </w:r>
          </w:p>
          <w:p w:rsidR="001D05C2" w:rsidRDefault="001D05C2" w:rsidP="001D05C2">
            <w:r>
              <w:t>90% or Above when calculating the average for Part A and B together.</w:t>
            </w:r>
          </w:p>
          <w:p w:rsidR="00EE7363" w:rsidRDefault="00EE7363" w:rsidP="001666B0"/>
          <w:p w:rsidR="000E4D73" w:rsidRDefault="000E4D73" w:rsidP="000E4D73">
            <w:r>
              <w:t xml:space="preserve">4Sight – </w:t>
            </w:r>
            <w:r w:rsidR="00710DD9" w:rsidRPr="00710DD9">
              <w:t>90th%ile</w:t>
            </w:r>
          </w:p>
          <w:p w:rsidR="00487B41" w:rsidRDefault="000E4D73" w:rsidP="000E4D73">
            <w:r>
              <w:t>With full credit for Open Ended Response</w:t>
            </w:r>
          </w:p>
          <w:p w:rsidR="00EE7363" w:rsidRDefault="00EE7363" w:rsidP="001666B0"/>
        </w:tc>
        <w:tc>
          <w:tcPr>
            <w:tcW w:w="2097" w:type="dxa"/>
          </w:tcPr>
          <w:p w:rsidR="00EE7363" w:rsidRDefault="00927328" w:rsidP="001666B0">
            <w:r>
              <w:t>3/</w:t>
            </w:r>
            <w:r w:rsidR="00B12C2C">
              <w:t>4</w:t>
            </w:r>
            <w:r w:rsidR="001D05C2">
              <w:t xml:space="preserve"> </w:t>
            </w:r>
            <w:r w:rsidR="0028294F">
              <w:t xml:space="preserve">Data Points </w:t>
            </w:r>
            <w:r w:rsidR="001D05C2">
              <w:t xml:space="preserve">for </w:t>
            </w:r>
            <w:r w:rsidR="0028294F">
              <w:t>Literacy</w:t>
            </w:r>
          </w:p>
          <w:p w:rsidR="001D05C2" w:rsidRDefault="001D05C2" w:rsidP="001666B0"/>
          <w:p w:rsidR="00EE7363" w:rsidRDefault="00B12C2C" w:rsidP="001666B0">
            <w:pPr>
              <w:rPr>
                <w:u w:val="single"/>
              </w:rPr>
            </w:pPr>
            <w:r w:rsidRPr="00AB1775">
              <w:rPr>
                <w:u w:val="single"/>
              </w:rPr>
              <w:t>O</w:t>
            </w:r>
            <w:r w:rsidR="00EE7363" w:rsidRPr="00AB1775">
              <w:rPr>
                <w:u w:val="single"/>
              </w:rPr>
              <w:t>r</w:t>
            </w:r>
          </w:p>
          <w:p w:rsidR="00B12C2C" w:rsidRPr="00AB1775" w:rsidRDefault="00B12C2C" w:rsidP="001666B0">
            <w:pPr>
              <w:rPr>
                <w:u w:val="single"/>
              </w:rPr>
            </w:pPr>
          </w:p>
          <w:p w:rsidR="00EE7363" w:rsidRDefault="00EE7363" w:rsidP="001666B0">
            <w:r>
              <w:t>2/2 Data Points in Math</w:t>
            </w:r>
          </w:p>
          <w:p w:rsidR="00EE7363" w:rsidRDefault="00EE7363" w:rsidP="001666B0"/>
          <w:p w:rsidR="00EE7363" w:rsidRDefault="00EE7363" w:rsidP="001666B0"/>
          <w:p w:rsidR="00EE7363" w:rsidRDefault="00EE7363" w:rsidP="001666B0"/>
        </w:tc>
      </w:tr>
      <w:tr w:rsidR="00013D43" w:rsidTr="00F83A65">
        <w:tc>
          <w:tcPr>
            <w:tcW w:w="1791" w:type="dxa"/>
            <w:shd w:val="clear" w:color="auto" w:fill="D9D9D9" w:themeFill="background1" w:themeFillShade="D9"/>
          </w:tcPr>
          <w:p w:rsidR="00013D43" w:rsidRDefault="00013D43" w:rsidP="00013D43">
            <w:r>
              <w:t xml:space="preserve">Screening Layer </w:t>
            </w:r>
          </w:p>
        </w:tc>
        <w:tc>
          <w:tcPr>
            <w:tcW w:w="2907" w:type="dxa"/>
            <w:shd w:val="clear" w:color="auto" w:fill="D9D9D9" w:themeFill="background1" w:themeFillShade="D9"/>
          </w:tcPr>
          <w:p w:rsidR="00013D43" w:rsidRDefault="00013D43" w:rsidP="00013D43">
            <w:r>
              <w:t>Assessment(s)</w:t>
            </w:r>
          </w:p>
        </w:tc>
        <w:tc>
          <w:tcPr>
            <w:tcW w:w="2781" w:type="dxa"/>
            <w:shd w:val="clear" w:color="auto" w:fill="D9D9D9" w:themeFill="background1" w:themeFillShade="D9"/>
          </w:tcPr>
          <w:p w:rsidR="00013D43" w:rsidRDefault="00013D43" w:rsidP="00013D43">
            <w:r>
              <w:t>Person Responsible</w:t>
            </w:r>
          </w:p>
        </w:tc>
        <w:tc>
          <w:tcPr>
            <w:tcW w:w="2097" w:type="dxa"/>
            <w:shd w:val="clear" w:color="auto" w:fill="D9D9D9" w:themeFill="background1" w:themeFillShade="D9"/>
          </w:tcPr>
          <w:p w:rsidR="00013D43" w:rsidRDefault="00013D43" w:rsidP="00013D43">
            <w:r>
              <w:t>Cut-Offs/Thresholds</w:t>
            </w:r>
          </w:p>
        </w:tc>
      </w:tr>
      <w:tr w:rsidR="00EA5928" w:rsidTr="00F83A65">
        <w:tc>
          <w:tcPr>
            <w:tcW w:w="1791" w:type="dxa"/>
          </w:tcPr>
          <w:p w:rsidR="00EA5928" w:rsidRDefault="00EA5928" w:rsidP="00013D43">
            <w:r>
              <w:t>Gifted Screener</w:t>
            </w:r>
            <w:r w:rsidR="00B35F98">
              <w:t xml:space="preserve"> (Diagnostic)</w:t>
            </w:r>
          </w:p>
        </w:tc>
        <w:tc>
          <w:tcPr>
            <w:tcW w:w="2907" w:type="dxa"/>
          </w:tcPr>
          <w:p w:rsidR="00EA5928" w:rsidRDefault="00EE7363" w:rsidP="00EE7363">
            <w:r>
              <w:t xml:space="preserve">Gifted Screener </w:t>
            </w:r>
          </w:p>
          <w:p w:rsidR="000463B2" w:rsidRDefault="00372771" w:rsidP="00EE7363">
            <w:r>
              <w:t>WASI</w:t>
            </w:r>
            <w:r w:rsidR="00094117">
              <w:t xml:space="preserve"> II</w:t>
            </w:r>
          </w:p>
          <w:p w:rsidR="000463B2" w:rsidRDefault="000463B2" w:rsidP="00EE7363">
            <w:r>
              <w:t>98</w:t>
            </w:r>
            <w:r w:rsidRPr="000463B2">
              <w:rPr>
                <w:vertAlign w:val="superscript"/>
              </w:rPr>
              <w:t>Th</w:t>
            </w:r>
            <w:r>
              <w:t xml:space="preserve"> 130 ↑– 4</w:t>
            </w:r>
          </w:p>
          <w:p w:rsidR="000463B2" w:rsidRDefault="000463B2" w:rsidP="00EE7363">
            <w:r>
              <w:t xml:space="preserve">95-97th </w:t>
            </w:r>
            <w:r w:rsidR="00DF5A10">
              <w:rPr>
                <w:sz w:val="24"/>
              </w:rPr>
              <w:t>124</w:t>
            </w:r>
            <w:r>
              <w:rPr>
                <w:sz w:val="24"/>
              </w:rPr>
              <w:t>-129 = 3 points</w:t>
            </w:r>
          </w:p>
          <w:p w:rsidR="004A7696" w:rsidRDefault="00B57360" w:rsidP="000463B2">
            <w:r>
              <w:t>92-94th 121-123</w:t>
            </w:r>
            <w:r w:rsidR="000463B2">
              <w:t>=2 points</w:t>
            </w:r>
          </w:p>
          <w:p w:rsidR="000463B2" w:rsidRDefault="000463B2" w:rsidP="000463B2">
            <w:r>
              <w:t>91</w:t>
            </w:r>
            <w:r w:rsidRPr="000463B2">
              <w:rPr>
                <w:vertAlign w:val="superscript"/>
              </w:rPr>
              <w:t>st</w:t>
            </w:r>
            <w:r>
              <w:t xml:space="preserve"> 120=1 point</w:t>
            </w:r>
          </w:p>
        </w:tc>
        <w:tc>
          <w:tcPr>
            <w:tcW w:w="2781" w:type="dxa"/>
          </w:tcPr>
          <w:p w:rsidR="00EA5928" w:rsidRDefault="00372771" w:rsidP="00013D43">
            <w:r>
              <w:t xml:space="preserve">Psychologists will administer unless counselors have training in </w:t>
            </w:r>
            <w:r w:rsidR="00024891">
              <w:t>psychometric</w:t>
            </w:r>
            <w:r w:rsidR="00094117">
              <w:t>s.</w:t>
            </w:r>
          </w:p>
        </w:tc>
        <w:tc>
          <w:tcPr>
            <w:tcW w:w="2097" w:type="dxa"/>
            <w:vMerge w:val="restart"/>
          </w:tcPr>
          <w:p w:rsidR="00C11A33" w:rsidRDefault="000463B2" w:rsidP="00013D43">
            <w:r>
              <w:t>To move on to Evaluation, students will need a minimum of 4 points.</w:t>
            </w:r>
          </w:p>
          <w:p w:rsidR="000463B2" w:rsidRDefault="000463B2" w:rsidP="00013D43"/>
        </w:tc>
      </w:tr>
      <w:tr w:rsidR="00EA5928" w:rsidTr="00F83A65">
        <w:tc>
          <w:tcPr>
            <w:tcW w:w="1791" w:type="dxa"/>
          </w:tcPr>
          <w:p w:rsidR="00EA5928" w:rsidRDefault="00EA5928" w:rsidP="00013D43">
            <w:r>
              <w:t>Teacher input</w:t>
            </w:r>
            <w:r w:rsidR="00B35F98">
              <w:t xml:space="preserve"> (Formative)</w:t>
            </w:r>
          </w:p>
        </w:tc>
        <w:tc>
          <w:tcPr>
            <w:tcW w:w="2907" w:type="dxa"/>
          </w:tcPr>
          <w:p w:rsidR="00EE7363" w:rsidRDefault="00EE7363" w:rsidP="00EE7363">
            <w:r>
              <w:t xml:space="preserve">Teacher Rating Scale </w:t>
            </w:r>
            <w:r w:rsidR="000463B2">
              <w:t>–</w:t>
            </w:r>
            <w:r>
              <w:t xml:space="preserve"> </w:t>
            </w:r>
          </w:p>
          <w:p w:rsidR="006539D6" w:rsidRDefault="006539D6" w:rsidP="00EE7363">
            <w:r>
              <w:t xml:space="preserve">4 </w:t>
            </w:r>
            <w:r w:rsidR="000463B2">
              <w:t>points</w:t>
            </w:r>
            <w:r w:rsidR="00024891">
              <w:t xml:space="preserve"> (&gt;33)</w:t>
            </w:r>
          </w:p>
          <w:p w:rsidR="000463B2" w:rsidRDefault="006539D6" w:rsidP="00EE7363">
            <w:r>
              <w:t>3</w:t>
            </w:r>
            <w:r w:rsidR="000463B2">
              <w:t xml:space="preserve"> points</w:t>
            </w:r>
            <w:r w:rsidR="00024891">
              <w:t xml:space="preserve"> (30-32)</w:t>
            </w:r>
          </w:p>
          <w:p w:rsidR="006539D6" w:rsidRDefault="006539D6" w:rsidP="00EE7363">
            <w:r>
              <w:t xml:space="preserve">2 </w:t>
            </w:r>
            <w:r w:rsidR="000463B2">
              <w:t>point</w:t>
            </w:r>
            <w:r w:rsidR="00024891">
              <w:t xml:space="preserve"> (26-29)</w:t>
            </w:r>
          </w:p>
          <w:p w:rsidR="000463B2" w:rsidRDefault="006539D6" w:rsidP="00EE7363">
            <w:r>
              <w:t>1</w:t>
            </w:r>
            <w:r w:rsidR="000463B2">
              <w:t xml:space="preserve"> points</w:t>
            </w:r>
            <w:r>
              <w:t xml:space="preserve"> (22-25</w:t>
            </w:r>
            <w:r w:rsidR="00024891">
              <w:t>)</w:t>
            </w:r>
          </w:p>
          <w:p w:rsidR="000463B2" w:rsidRDefault="000463B2" w:rsidP="00EE7363">
            <w:r>
              <w:t>Masking Traits - +1</w:t>
            </w:r>
          </w:p>
          <w:p w:rsidR="00EA5928" w:rsidRDefault="00EA5928" w:rsidP="00013D43"/>
          <w:p w:rsidR="004A7696" w:rsidRDefault="004A7696" w:rsidP="00013D43"/>
        </w:tc>
        <w:tc>
          <w:tcPr>
            <w:tcW w:w="2781" w:type="dxa"/>
          </w:tcPr>
          <w:p w:rsidR="00EA5928" w:rsidRDefault="00EA5928" w:rsidP="00013D43"/>
        </w:tc>
        <w:tc>
          <w:tcPr>
            <w:tcW w:w="2097" w:type="dxa"/>
            <w:vMerge/>
          </w:tcPr>
          <w:p w:rsidR="00EA5928" w:rsidRDefault="00EA5928" w:rsidP="00013D43"/>
        </w:tc>
      </w:tr>
    </w:tbl>
    <w:p w:rsidR="000463B2" w:rsidRDefault="000463B2"/>
    <w:tbl>
      <w:tblPr>
        <w:tblStyle w:val="TableGrid"/>
        <w:tblW w:w="10034" w:type="dxa"/>
        <w:tblLook w:val="04A0" w:firstRow="1" w:lastRow="0" w:firstColumn="1" w:lastColumn="0" w:noHBand="0" w:noVBand="1"/>
      </w:tblPr>
      <w:tblGrid>
        <w:gridCol w:w="1368"/>
        <w:gridCol w:w="4935"/>
        <w:gridCol w:w="3731"/>
      </w:tblGrid>
      <w:tr w:rsidR="005F671D" w:rsidTr="00AB15E3">
        <w:trPr>
          <w:trHeight w:val="267"/>
        </w:trPr>
        <w:tc>
          <w:tcPr>
            <w:tcW w:w="1368" w:type="dxa"/>
            <w:shd w:val="clear" w:color="auto" w:fill="D9D9D9" w:themeFill="background1" w:themeFillShade="D9"/>
          </w:tcPr>
          <w:p w:rsidR="005F671D" w:rsidRDefault="005F671D" w:rsidP="00AB15E3">
            <w:r>
              <w:t>For Evaluation</w:t>
            </w:r>
          </w:p>
        </w:tc>
        <w:tc>
          <w:tcPr>
            <w:tcW w:w="4935" w:type="dxa"/>
            <w:shd w:val="clear" w:color="auto" w:fill="D9D9D9" w:themeFill="background1" w:themeFillShade="D9"/>
          </w:tcPr>
          <w:p w:rsidR="005F671D" w:rsidRDefault="005F671D" w:rsidP="00AB15E3">
            <w:r>
              <w:t>Literacy</w:t>
            </w:r>
          </w:p>
        </w:tc>
        <w:tc>
          <w:tcPr>
            <w:tcW w:w="3731" w:type="dxa"/>
            <w:shd w:val="clear" w:color="auto" w:fill="D9D9D9" w:themeFill="background1" w:themeFillShade="D9"/>
          </w:tcPr>
          <w:p w:rsidR="005F671D" w:rsidRDefault="005F671D" w:rsidP="00AB15E3">
            <w:r>
              <w:t>Math</w:t>
            </w:r>
          </w:p>
        </w:tc>
      </w:tr>
      <w:tr w:rsidR="005F671D" w:rsidTr="00AB15E3">
        <w:trPr>
          <w:trHeight w:val="3613"/>
        </w:trPr>
        <w:tc>
          <w:tcPr>
            <w:tcW w:w="1368" w:type="dxa"/>
          </w:tcPr>
          <w:p w:rsidR="005F671D" w:rsidRDefault="005F671D" w:rsidP="00AB15E3">
            <w:r>
              <w:t>Guidance Finding Instructional levels</w:t>
            </w:r>
          </w:p>
        </w:tc>
        <w:tc>
          <w:tcPr>
            <w:tcW w:w="4935" w:type="dxa"/>
          </w:tcPr>
          <w:p w:rsidR="005F671D" w:rsidRDefault="005F671D" w:rsidP="00AB15E3">
            <w:r>
              <w:t>1.  Classroom Diagnostic Tool</w:t>
            </w:r>
          </w:p>
          <w:p w:rsidR="005F671D" w:rsidRDefault="005F671D" w:rsidP="00AB15E3">
            <w:r>
              <w:t>2.  Out of Level Benchmark (use San Diego Quick Check to find a starting place, then administer full battery of DIBELS Measures or Out of Level 4 Sight)</w:t>
            </w:r>
          </w:p>
          <w:p w:rsidR="005F671D" w:rsidRDefault="005F671D" w:rsidP="00AB15E3">
            <w:r>
              <w:t>3.  Teacher Anecdotal Observations</w:t>
            </w:r>
          </w:p>
          <w:p w:rsidR="005F671D" w:rsidRDefault="005F671D" w:rsidP="00AB15E3"/>
          <w:p w:rsidR="005F671D" w:rsidRDefault="005F671D" w:rsidP="00AB15E3">
            <w:r>
              <w:t xml:space="preserve">Use the three data points combined to determine Reading Comprehension level. </w:t>
            </w:r>
          </w:p>
          <w:p w:rsidR="005F671D" w:rsidRDefault="005F671D" w:rsidP="00AB15E3"/>
          <w:p w:rsidR="005F671D" w:rsidRDefault="005F671D" w:rsidP="00AB15E3">
            <w:r>
              <w:t>**If child is also exhibiting precocious writing, collect three samples of cold write in each genre and using the standards or grade level rubrics, determine writing level.</w:t>
            </w:r>
          </w:p>
        </w:tc>
        <w:tc>
          <w:tcPr>
            <w:tcW w:w="3731" w:type="dxa"/>
          </w:tcPr>
          <w:p w:rsidR="005F671D" w:rsidRDefault="005F671D" w:rsidP="00AB15E3">
            <w:r>
              <w:t>1.  Classroom Diagnostic Tool</w:t>
            </w:r>
          </w:p>
          <w:p w:rsidR="005F671D" w:rsidRDefault="005F671D" w:rsidP="00AB15E3">
            <w:r>
              <w:t xml:space="preserve">2.  Out of Level Benchmark </w:t>
            </w:r>
            <w:r w:rsidR="0080122E">
              <w:t>EDM</w:t>
            </w:r>
            <w:r w:rsidR="00A6709D">
              <w:t xml:space="preserve"> and/or 4 Sight</w:t>
            </w:r>
          </w:p>
          <w:p w:rsidR="005F671D" w:rsidRDefault="005F671D" w:rsidP="00AB15E3">
            <w:r>
              <w:t>3.  Teacher Anecdotal Observations (collection of classroom Data)</w:t>
            </w:r>
          </w:p>
          <w:p w:rsidR="005F671D" w:rsidRDefault="005F671D" w:rsidP="00AB15E3"/>
          <w:p w:rsidR="005F671D" w:rsidRDefault="005F671D" w:rsidP="00AB15E3"/>
        </w:tc>
      </w:tr>
    </w:tbl>
    <w:p w:rsidR="000463B2" w:rsidRDefault="000463B2">
      <w:r>
        <w:br w:type="page"/>
      </w:r>
    </w:p>
    <w:p w:rsidR="003C38DF" w:rsidRDefault="00C04EB3">
      <w:r>
        <w:lastRenderedPageBreak/>
        <w:t>Matrix for Gifted Evaluation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57360" w:rsidTr="00024520">
        <w:tc>
          <w:tcPr>
            <w:tcW w:w="1596" w:type="dxa"/>
          </w:tcPr>
          <w:p w:rsidR="00B57360" w:rsidRDefault="00B57360">
            <w:r>
              <w:t>Measure</w:t>
            </w:r>
          </w:p>
        </w:tc>
        <w:tc>
          <w:tcPr>
            <w:tcW w:w="1596" w:type="dxa"/>
          </w:tcPr>
          <w:p w:rsidR="00B57360" w:rsidRDefault="00000858">
            <w:r>
              <w:t>3</w:t>
            </w:r>
            <w:r w:rsidR="00B57360">
              <w:t xml:space="preserve"> points</w:t>
            </w:r>
          </w:p>
        </w:tc>
        <w:tc>
          <w:tcPr>
            <w:tcW w:w="1596" w:type="dxa"/>
          </w:tcPr>
          <w:p w:rsidR="00B57360" w:rsidRDefault="00000858">
            <w:r>
              <w:t>2</w:t>
            </w:r>
            <w:r w:rsidR="00B57360">
              <w:t xml:space="preserve"> Points</w:t>
            </w:r>
          </w:p>
        </w:tc>
        <w:tc>
          <w:tcPr>
            <w:tcW w:w="1596" w:type="dxa"/>
          </w:tcPr>
          <w:p w:rsidR="00B57360" w:rsidRDefault="00B57360">
            <w:r>
              <w:t>1 points</w:t>
            </w:r>
          </w:p>
        </w:tc>
        <w:tc>
          <w:tcPr>
            <w:tcW w:w="1596" w:type="dxa"/>
          </w:tcPr>
          <w:p w:rsidR="00B57360" w:rsidRDefault="00B57360">
            <w:r>
              <w:t>0 Points</w:t>
            </w:r>
          </w:p>
        </w:tc>
        <w:tc>
          <w:tcPr>
            <w:tcW w:w="1596" w:type="dxa"/>
          </w:tcPr>
          <w:p w:rsidR="00B57360" w:rsidRDefault="00B57360">
            <w:r>
              <w:t>+1 (PMT)</w:t>
            </w:r>
          </w:p>
        </w:tc>
      </w:tr>
      <w:tr w:rsidR="00B57360" w:rsidTr="009D2120">
        <w:trPr>
          <w:trHeight w:val="1655"/>
        </w:trPr>
        <w:tc>
          <w:tcPr>
            <w:tcW w:w="1596" w:type="dxa"/>
          </w:tcPr>
          <w:p w:rsidR="00B57360" w:rsidRDefault="00B57360">
            <w:r>
              <w:t>WISC-IV</w:t>
            </w:r>
          </w:p>
        </w:tc>
        <w:tc>
          <w:tcPr>
            <w:tcW w:w="1596" w:type="dxa"/>
          </w:tcPr>
          <w:p w:rsidR="00B57360" w:rsidRDefault="00B57360">
            <w:r>
              <w:t xml:space="preserve">130 </w:t>
            </w:r>
          </w:p>
          <w:p w:rsidR="00B57360" w:rsidRPr="00DF5A10" w:rsidRDefault="00B57360">
            <w:pPr>
              <w:rPr>
                <w:i/>
              </w:rPr>
            </w:pPr>
            <w:r w:rsidRPr="00DF5A10">
              <w:rPr>
                <w:i/>
              </w:rPr>
              <w:t>98</w:t>
            </w:r>
            <w:r w:rsidRPr="00DF5A10">
              <w:rPr>
                <w:i/>
                <w:vertAlign w:val="superscript"/>
              </w:rPr>
              <w:t>th</w:t>
            </w:r>
            <w:r w:rsidRPr="00DF5A10">
              <w:rPr>
                <w:i/>
              </w:rPr>
              <w:t>-↑ %ile</w:t>
            </w:r>
          </w:p>
        </w:tc>
        <w:tc>
          <w:tcPr>
            <w:tcW w:w="1596" w:type="dxa"/>
          </w:tcPr>
          <w:p w:rsidR="00B57360" w:rsidRDefault="00B57360" w:rsidP="00DF5A10">
            <w:pPr>
              <w:rPr>
                <w:sz w:val="24"/>
              </w:rPr>
            </w:pPr>
            <w:r>
              <w:rPr>
                <w:sz w:val="24"/>
              </w:rPr>
              <w:t xml:space="preserve">124-129 </w:t>
            </w:r>
          </w:p>
          <w:p w:rsidR="00B57360" w:rsidRPr="00DF5A10" w:rsidRDefault="00B57360" w:rsidP="00DF5A10">
            <w:pPr>
              <w:rPr>
                <w:i/>
              </w:rPr>
            </w:pPr>
            <w:r w:rsidRPr="00DF5A10">
              <w:rPr>
                <w:i/>
              </w:rPr>
              <w:t>95-97</w:t>
            </w:r>
            <w:r w:rsidRPr="00DF5A10">
              <w:rPr>
                <w:i/>
                <w:vertAlign w:val="superscript"/>
              </w:rPr>
              <w:t>th</w:t>
            </w:r>
            <w:r w:rsidRPr="00DF5A10">
              <w:rPr>
                <w:i/>
              </w:rPr>
              <w:t>%ile</w:t>
            </w:r>
          </w:p>
        </w:tc>
        <w:tc>
          <w:tcPr>
            <w:tcW w:w="1596" w:type="dxa"/>
          </w:tcPr>
          <w:p w:rsidR="00B57360" w:rsidRDefault="00B57360">
            <w:r>
              <w:t>121-123</w:t>
            </w:r>
          </w:p>
          <w:p w:rsidR="00B57360" w:rsidRPr="00DF5A10" w:rsidRDefault="00B57360">
            <w:pPr>
              <w:rPr>
                <w:i/>
              </w:rPr>
            </w:pPr>
            <w:r w:rsidRPr="00DF5A10">
              <w:rPr>
                <w:i/>
              </w:rPr>
              <w:t>92-</w:t>
            </w:r>
            <w:r>
              <w:rPr>
                <w:i/>
              </w:rPr>
              <w:t>94</w:t>
            </w:r>
            <w:r w:rsidRPr="00DF5A10">
              <w:rPr>
                <w:i/>
                <w:vertAlign w:val="superscript"/>
              </w:rPr>
              <w:t>th</w:t>
            </w:r>
            <w:r w:rsidRPr="00DF5A10">
              <w:rPr>
                <w:i/>
              </w:rPr>
              <w:t>%ile</w:t>
            </w:r>
          </w:p>
        </w:tc>
        <w:tc>
          <w:tcPr>
            <w:tcW w:w="1596" w:type="dxa"/>
          </w:tcPr>
          <w:p w:rsidR="00B57360" w:rsidRDefault="00B57360">
            <w:r>
              <w:t>120-↓</w:t>
            </w:r>
          </w:p>
          <w:p w:rsidR="00B57360" w:rsidRDefault="00B57360">
            <w:r>
              <w:t>91</w:t>
            </w:r>
            <w:r w:rsidRPr="00B57360">
              <w:rPr>
                <w:vertAlign w:val="superscript"/>
              </w:rPr>
              <w:t>st</w:t>
            </w:r>
            <w:r>
              <w:t xml:space="preserve"> %ile and ↓</w:t>
            </w:r>
          </w:p>
        </w:tc>
        <w:tc>
          <w:tcPr>
            <w:tcW w:w="1596" w:type="dxa"/>
          </w:tcPr>
          <w:p w:rsidR="00B57360" w:rsidRDefault="00B57360">
            <w:r>
              <w:t xml:space="preserve">Due to statistically significant scatter among the index scores </w:t>
            </w:r>
          </w:p>
        </w:tc>
      </w:tr>
      <w:tr w:rsidR="005F671D" w:rsidTr="00024520">
        <w:tc>
          <w:tcPr>
            <w:tcW w:w="1596" w:type="dxa"/>
          </w:tcPr>
          <w:p w:rsidR="005F671D" w:rsidRDefault="005F671D" w:rsidP="00AB15E3">
            <w:r>
              <w:t>Literacy Instructional Level</w:t>
            </w:r>
          </w:p>
        </w:tc>
        <w:tc>
          <w:tcPr>
            <w:tcW w:w="1596" w:type="dxa"/>
          </w:tcPr>
          <w:p w:rsidR="005F671D" w:rsidRDefault="005F671D" w:rsidP="00AB15E3">
            <w:r>
              <w:t xml:space="preserve">Score two or more years above grade level </w:t>
            </w:r>
          </w:p>
        </w:tc>
        <w:tc>
          <w:tcPr>
            <w:tcW w:w="1596" w:type="dxa"/>
          </w:tcPr>
          <w:p w:rsidR="005F671D" w:rsidRDefault="005F671D" w:rsidP="00AB15E3">
            <w:pPr>
              <w:rPr>
                <w:sz w:val="24"/>
              </w:rPr>
            </w:pPr>
            <w:r>
              <w:rPr>
                <w:sz w:val="24"/>
              </w:rPr>
              <w:t>Score one to two years above grade level</w:t>
            </w:r>
          </w:p>
        </w:tc>
        <w:tc>
          <w:tcPr>
            <w:tcW w:w="1596" w:type="dxa"/>
          </w:tcPr>
          <w:p w:rsidR="005F671D" w:rsidRDefault="005F671D" w:rsidP="00AB15E3">
            <w:r>
              <w:t>Score within a year above grade level</w:t>
            </w:r>
          </w:p>
        </w:tc>
        <w:tc>
          <w:tcPr>
            <w:tcW w:w="1596" w:type="dxa"/>
          </w:tcPr>
          <w:p w:rsidR="005F671D" w:rsidRDefault="005F671D" w:rsidP="00AB15E3">
            <w:r>
              <w:t>Score at or below grade level</w:t>
            </w:r>
          </w:p>
        </w:tc>
        <w:tc>
          <w:tcPr>
            <w:tcW w:w="1596" w:type="dxa"/>
          </w:tcPr>
          <w:p w:rsidR="005F671D" w:rsidRDefault="005F671D"/>
        </w:tc>
      </w:tr>
      <w:tr w:rsidR="005F671D" w:rsidTr="00024520">
        <w:tc>
          <w:tcPr>
            <w:tcW w:w="1596" w:type="dxa"/>
          </w:tcPr>
          <w:p w:rsidR="005F671D" w:rsidRDefault="005F671D" w:rsidP="00AB15E3">
            <w:r>
              <w:t>Math Instructional Level</w:t>
            </w:r>
          </w:p>
        </w:tc>
        <w:tc>
          <w:tcPr>
            <w:tcW w:w="1596" w:type="dxa"/>
          </w:tcPr>
          <w:p w:rsidR="005F671D" w:rsidRDefault="005F671D" w:rsidP="00AB15E3">
            <w:r>
              <w:t xml:space="preserve">Score two or more years above grade level </w:t>
            </w:r>
          </w:p>
        </w:tc>
        <w:tc>
          <w:tcPr>
            <w:tcW w:w="1596" w:type="dxa"/>
          </w:tcPr>
          <w:p w:rsidR="005F671D" w:rsidRDefault="005F671D" w:rsidP="00AB15E3">
            <w:pPr>
              <w:rPr>
                <w:sz w:val="24"/>
              </w:rPr>
            </w:pPr>
            <w:r>
              <w:rPr>
                <w:sz w:val="24"/>
              </w:rPr>
              <w:t>Score one to two years above grade level</w:t>
            </w:r>
          </w:p>
        </w:tc>
        <w:tc>
          <w:tcPr>
            <w:tcW w:w="1596" w:type="dxa"/>
          </w:tcPr>
          <w:p w:rsidR="005F671D" w:rsidRDefault="005F671D" w:rsidP="00AB15E3">
            <w:r>
              <w:t>Score within a year above grade level</w:t>
            </w:r>
          </w:p>
        </w:tc>
        <w:tc>
          <w:tcPr>
            <w:tcW w:w="1596" w:type="dxa"/>
          </w:tcPr>
          <w:p w:rsidR="005F671D" w:rsidRDefault="005F671D" w:rsidP="00AB15E3">
            <w:r>
              <w:t>Score at or below grade level</w:t>
            </w:r>
          </w:p>
        </w:tc>
        <w:tc>
          <w:tcPr>
            <w:tcW w:w="1596" w:type="dxa"/>
          </w:tcPr>
          <w:p w:rsidR="005F671D" w:rsidRDefault="005F671D"/>
        </w:tc>
      </w:tr>
      <w:tr w:rsidR="000C5999" w:rsidTr="00024520">
        <w:tc>
          <w:tcPr>
            <w:tcW w:w="1596" w:type="dxa"/>
          </w:tcPr>
          <w:p w:rsidR="000C5999" w:rsidRDefault="005A552B" w:rsidP="006278F1">
            <w:r>
              <w:t>Teacher Input Form</w:t>
            </w:r>
          </w:p>
        </w:tc>
        <w:tc>
          <w:tcPr>
            <w:tcW w:w="1596" w:type="dxa"/>
          </w:tcPr>
          <w:p w:rsidR="005A552B" w:rsidRDefault="005A552B" w:rsidP="005A552B">
            <w:r>
              <w:t>(&gt;33)</w:t>
            </w:r>
          </w:p>
          <w:p w:rsidR="000C5999" w:rsidRDefault="000C5999" w:rsidP="005A552B"/>
        </w:tc>
        <w:tc>
          <w:tcPr>
            <w:tcW w:w="1596" w:type="dxa"/>
          </w:tcPr>
          <w:p w:rsidR="000C5999" w:rsidRPr="005A552B" w:rsidRDefault="005A552B" w:rsidP="005A552B">
            <w:r>
              <w:t>30-32</w:t>
            </w:r>
          </w:p>
        </w:tc>
        <w:tc>
          <w:tcPr>
            <w:tcW w:w="1596" w:type="dxa"/>
          </w:tcPr>
          <w:p w:rsidR="005A552B" w:rsidRDefault="005A552B" w:rsidP="005A552B">
            <w:r>
              <w:t>26-29</w:t>
            </w:r>
          </w:p>
          <w:p w:rsidR="000C5999" w:rsidRDefault="000C5999"/>
        </w:tc>
        <w:tc>
          <w:tcPr>
            <w:tcW w:w="1596" w:type="dxa"/>
          </w:tcPr>
          <w:p w:rsidR="000C5999" w:rsidRDefault="005A552B">
            <w:r>
              <w:t>22-25</w:t>
            </w:r>
          </w:p>
        </w:tc>
        <w:tc>
          <w:tcPr>
            <w:tcW w:w="1596" w:type="dxa"/>
          </w:tcPr>
          <w:p w:rsidR="000C5999" w:rsidRDefault="005A552B">
            <w:r>
              <w:t>Evidence of documented potential masking trait</w:t>
            </w:r>
          </w:p>
        </w:tc>
      </w:tr>
      <w:tr w:rsidR="005A552B" w:rsidTr="00024520">
        <w:tc>
          <w:tcPr>
            <w:tcW w:w="1596" w:type="dxa"/>
          </w:tcPr>
          <w:p w:rsidR="005A552B" w:rsidRDefault="005A552B" w:rsidP="006278F1">
            <w:r>
              <w:t>Parent Input</w:t>
            </w:r>
          </w:p>
        </w:tc>
        <w:tc>
          <w:tcPr>
            <w:tcW w:w="1596" w:type="dxa"/>
          </w:tcPr>
          <w:p w:rsidR="005A552B" w:rsidRDefault="005A552B" w:rsidP="007D7FF4">
            <w:r>
              <w:t>(&gt;33)</w:t>
            </w:r>
          </w:p>
          <w:p w:rsidR="005A552B" w:rsidRDefault="005A552B" w:rsidP="007D7FF4"/>
        </w:tc>
        <w:tc>
          <w:tcPr>
            <w:tcW w:w="1596" w:type="dxa"/>
          </w:tcPr>
          <w:p w:rsidR="005A552B" w:rsidRPr="005A552B" w:rsidRDefault="005A552B" w:rsidP="007D7FF4">
            <w:r>
              <w:t>30-32</w:t>
            </w:r>
          </w:p>
        </w:tc>
        <w:tc>
          <w:tcPr>
            <w:tcW w:w="1596" w:type="dxa"/>
          </w:tcPr>
          <w:p w:rsidR="005A552B" w:rsidRDefault="005A552B" w:rsidP="007D7FF4">
            <w:r>
              <w:t>26-29</w:t>
            </w:r>
          </w:p>
          <w:p w:rsidR="005A552B" w:rsidRDefault="005A552B" w:rsidP="007D7FF4"/>
        </w:tc>
        <w:tc>
          <w:tcPr>
            <w:tcW w:w="1596" w:type="dxa"/>
          </w:tcPr>
          <w:p w:rsidR="005A552B" w:rsidRDefault="005A552B" w:rsidP="007D7FF4">
            <w:r>
              <w:t>22-25</w:t>
            </w:r>
          </w:p>
        </w:tc>
        <w:tc>
          <w:tcPr>
            <w:tcW w:w="1596" w:type="dxa"/>
          </w:tcPr>
          <w:p w:rsidR="005A552B" w:rsidRDefault="005A552B">
            <w:r>
              <w:t>Evidence of documented potential masking trait</w:t>
            </w:r>
          </w:p>
        </w:tc>
      </w:tr>
      <w:tr w:rsidR="00A36F61" w:rsidTr="00F40073">
        <w:tc>
          <w:tcPr>
            <w:tcW w:w="6384" w:type="dxa"/>
            <w:gridSpan w:val="4"/>
          </w:tcPr>
          <w:p w:rsidR="00A36F61" w:rsidRDefault="00A36F61" w:rsidP="00A36F61">
            <w:pPr>
              <w:jc w:val="right"/>
            </w:pPr>
            <w:r>
              <w:t>Total</w:t>
            </w:r>
          </w:p>
        </w:tc>
        <w:tc>
          <w:tcPr>
            <w:tcW w:w="1596" w:type="dxa"/>
          </w:tcPr>
          <w:p w:rsidR="00A36F61" w:rsidRDefault="00A36F61" w:rsidP="007D7FF4"/>
        </w:tc>
        <w:tc>
          <w:tcPr>
            <w:tcW w:w="1596" w:type="dxa"/>
          </w:tcPr>
          <w:p w:rsidR="00A36F61" w:rsidRDefault="00A36F61"/>
        </w:tc>
      </w:tr>
    </w:tbl>
    <w:p w:rsidR="00672D3C" w:rsidRDefault="00672D3C"/>
    <w:p w:rsidR="00672D3C" w:rsidRDefault="00672D3C" w:rsidP="00672D3C">
      <w:pPr>
        <w:pStyle w:val="ListParagraph"/>
        <w:numPr>
          <w:ilvl w:val="0"/>
          <w:numId w:val="2"/>
        </w:numPr>
      </w:pPr>
      <w:r>
        <w:t>For eligibility purposes, assessment would stop here.  If the student becomes eligible, further assessment to find instructional level will be necessary.</w:t>
      </w:r>
    </w:p>
    <w:p w:rsidR="00A36F61" w:rsidRDefault="00A36F61" w:rsidP="00A36F61">
      <w:r>
        <w:t>If a student scores 11 or higher, the student meets the first prong of eligibility.  The Team will convene to review the data, as well as consider the second prong (in need of specially designed instruction).</w:t>
      </w:r>
    </w:p>
    <w:p w:rsidR="00A36F61" w:rsidRDefault="00A36F61" w:rsidP="00A36F61"/>
    <w:p w:rsidR="009D2120" w:rsidRDefault="009D2120" w:rsidP="009D2120"/>
    <w:sectPr w:rsidR="009D21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46" w:rsidRDefault="00BB2546" w:rsidP="00E91ABA">
      <w:pPr>
        <w:spacing w:after="0" w:line="240" w:lineRule="auto"/>
      </w:pPr>
      <w:r>
        <w:separator/>
      </w:r>
    </w:p>
  </w:endnote>
  <w:endnote w:type="continuationSeparator" w:id="0">
    <w:p w:rsidR="00BB2546" w:rsidRDefault="00BB2546" w:rsidP="00E9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B2" w:rsidRPr="003A51DA" w:rsidRDefault="003A51DA" w:rsidP="003A51DA">
    <w:pPr>
      <w:pStyle w:val="Footer"/>
    </w:pPr>
    <w:r>
      <w:fldChar w:fldCharType="begin"/>
    </w:r>
    <w:r>
      <w:instrText xml:space="preserve"> DATE \@ "MMMM d, yyyy" </w:instrText>
    </w:r>
    <w:r>
      <w:fldChar w:fldCharType="separate"/>
    </w:r>
    <w:r w:rsidR="001D445D">
      <w:rPr>
        <w:noProof/>
      </w:rPr>
      <w:t>November 27,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46" w:rsidRDefault="00BB2546" w:rsidP="00E91ABA">
      <w:pPr>
        <w:spacing w:after="0" w:line="240" w:lineRule="auto"/>
      </w:pPr>
      <w:r>
        <w:separator/>
      </w:r>
    </w:p>
  </w:footnote>
  <w:footnote w:type="continuationSeparator" w:id="0">
    <w:p w:rsidR="00BB2546" w:rsidRDefault="00BB2546" w:rsidP="00E9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BA" w:rsidRPr="00E91ABA" w:rsidRDefault="00E91ABA" w:rsidP="00E91ABA">
    <w:pPr>
      <w:pStyle w:val="Header"/>
      <w:jc w:val="center"/>
      <w:rPr>
        <w:sz w:val="32"/>
      </w:rPr>
    </w:pPr>
    <w:r w:rsidRPr="00E91ABA">
      <w:rPr>
        <w:sz w:val="32"/>
      </w:rPr>
      <w:t xml:space="preserve">Screening </w:t>
    </w:r>
    <w:r w:rsidR="00727998">
      <w:rPr>
        <w:sz w:val="32"/>
      </w:rPr>
      <w:t xml:space="preserve">and Evaluation </w:t>
    </w:r>
    <w:r w:rsidRPr="00E91ABA">
      <w:rPr>
        <w:sz w:val="32"/>
      </w:rPr>
      <w:t>Protocol</w:t>
    </w:r>
    <w:r w:rsidR="00727998">
      <w:rPr>
        <w:sz w:val="32"/>
      </w:rPr>
      <w:t>s</w:t>
    </w:r>
    <w:r w:rsidR="00B12C2C">
      <w:rPr>
        <w:sz w:val="32"/>
      </w:rPr>
      <w:t xml:space="preserve"> Grades </w:t>
    </w:r>
    <w:r w:rsidRPr="00E91ABA">
      <w:rPr>
        <w:sz w:val="3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07E00"/>
    <w:multiLevelType w:val="hybridMultilevel"/>
    <w:tmpl w:val="F1D2BAD6"/>
    <w:lvl w:ilvl="0" w:tplc="7B3633E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25B7C"/>
    <w:multiLevelType w:val="hybridMultilevel"/>
    <w:tmpl w:val="50682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EC"/>
    <w:rsid w:val="00000858"/>
    <w:rsid w:val="00013D43"/>
    <w:rsid w:val="00024891"/>
    <w:rsid w:val="00024B3D"/>
    <w:rsid w:val="00026B7B"/>
    <w:rsid w:val="000463B2"/>
    <w:rsid w:val="00094117"/>
    <w:rsid w:val="000C5999"/>
    <w:rsid w:val="000E4D73"/>
    <w:rsid w:val="000F5374"/>
    <w:rsid w:val="000F5C63"/>
    <w:rsid w:val="0013756B"/>
    <w:rsid w:val="0014162E"/>
    <w:rsid w:val="001C178F"/>
    <w:rsid w:val="001D05C2"/>
    <w:rsid w:val="001D362E"/>
    <w:rsid w:val="001D445D"/>
    <w:rsid w:val="002339D5"/>
    <w:rsid w:val="0024785A"/>
    <w:rsid w:val="00280E72"/>
    <w:rsid w:val="0028294F"/>
    <w:rsid w:val="002A5A82"/>
    <w:rsid w:val="002D32A1"/>
    <w:rsid w:val="00326EED"/>
    <w:rsid w:val="00347E32"/>
    <w:rsid w:val="00372771"/>
    <w:rsid w:val="003A51DA"/>
    <w:rsid w:val="003C38DF"/>
    <w:rsid w:val="003D3B68"/>
    <w:rsid w:val="003E14C8"/>
    <w:rsid w:val="00427C90"/>
    <w:rsid w:val="004366EC"/>
    <w:rsid w:val="00483431"/>
    <w:rsid w:val="00487B41"/>
    <w:rsid w:val="00490841"/>
    <w:rsid w:val="00496128"/>
    <w:rsid w:val="004A7696"/>
    <w:rsid w:val="004C6A14"/>
    <w:rsid w:val="0055492A"/>
    <w:rsid w:val="005940B8"/>
    <w:rsid w:val="005A552B"/>
    <w:rsid w:val="005C4295"/>
    <w:rsid w:val="005C5932"/>
    <w:rsid w:val="005E64ED"/>
    <w:rsid w:val="005F498F"/>
    <w:rsid w:val="005F671D"/>
    <w:rsid w:val="006013F2"/>
    <w:rsid w:val="006024B6"/>
    <w:rsid w:val="0062065C"/>
    <w:rsid w:val="006278F1"/>
    <w:rsid w:val="00632ED0"/>
    <w:rsid w:val="006539D6"/>
    <w:rsid w:val="00672D3C"/>
    <w:rsid w:val="0067484F"/>
    <w:rsid w:val="006C1C91"/>
    <w:rsid w:val="00710DD9"/>
    <w:rsid w:val="00727998"/>
    <w:rsid w:val="00731C48"/>
    <w:rsid w:val="007D51B1"/>
    <w:rsid w:val="007F3117"/>
    <w:rsid w:val="007F554D"/>
    <w:rsid w:val="0080122E"/>
    <w:rsid w:val="00807CCC"/>
    <w:rsid w:val="00862950"/>
    <w:rsid w:val="008718D7"/>
    <w:rsid w:val="009047B0"/>
    <w:rsid w:val="00927328"/>
    <w:rsid w:val="0092752E"/>
    <w:rsid w:val="00952637"/>
    <w:rsid w:val="0095605B"/>
    <w:rsid w:val="009626A6"/>
    <w:rsid w:val="009710F9"/>
    <w:rsid w:val="0099574F"/>
    <w:rsid w:val="009B7671"/>
    <w:rsid w:val="009C62B7"/>
    <w:rsid w:val="009D06DD"/>
    <w:rsid w:val="009D2120"/>
    <w:rsid w:val="00A36F61"/>
    <w:rsid w:val="00A6709D"/>
    <w:rsid w:val="00A73016"/>
    <w:rsid w:val="00A8210B"/>
    <w:rsid w:val="00AB1775"/>
    <w:rsid w:val="00B12C2C"/>
    <w:rsid w:val="00B329D7"/>
    <w:rsid w:val="00B35F98"/>
    <w:rsid w:val="00B571B2"/>
    <w:rsid w:val="00B57360"/>
    <w:rsid w:val="00B87AA9"/>
    <w:rsid w:val="00B9266B"/>
    <w:rsid w:val="00BB2546"/>
    <w:rsid w:val="00BC1ECA"/>
    <w:rsid w:val="00BD6CD3"/>
    <w:rsid w:val="00BD7F7C"/>
    <w:rsid w:val="00C04EB3"/>
    <w:rsid w:val="00C11A33"/>
    <w:rsid w:val="00CC0700"/>
    <w:rsid w:val="00CE12EF"/>
    <w:rsid w:val="00D01FA5"/>
    <w:rsid w:val="00D20926"/>
    <w:rsid w:val="00D23731"/>
    <w:rsid w:val="00D42A30"/>
    <w:rsid w:val="00D64268"/>
    <w:rsid w:val="00DB1F27"/>
    <w:rsid w:val="00DC0866"/>
    <w:rsid w:val="00DD2141"/>
    <w:rsid w:val="00DD3D96"/>
    <w:rsid w:val="00DE5E2B"/>
    <w:rsid w:val="00DF5898"/>
    <w:rsid w:val="00DF5A10"/>
    <w:rsid w:val="00E11A4B"/>
    <w:rsid w:val="00E4053D"/>
    <w:rsid w:val="00E81F98"/>
    <w:rsid w:val="00E91ABA"/>
    <w:rsid w:val="00E979E4"/>
    <w:rsid w:val="00EA518D"/>
    <w:rsid w:val="00EA5928"/>
    <w:rsid w:val="00ED5711"/>
    <w:rsid w:val="00EE3B93"/>
    <w:rsid w:val="00EE7363"/>
    <w:rsid w:val="00F152DE"/>
    <w:rsid w:val="00F27A95"/>
    <w:rsid w:val="00F447EF"/>
    <w:rsid w:val="00F54500"/>
    <w:rsid w:val="00F83A65"/>
    <w:rsid w:val="00F85480"/>
    <w:rsid w:val="00FC3B2B"/>
    <w:rsid w:val="00FD1D57"/>
    <w:rsid w:val="00FD7C36"/>
    <w:rsid w:val="00FF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0AC74-C1DE-4889-879A-C267734F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BA"/>
  </w:style>
  <w:style w:type="paragraph" w:styleId="Footer">
    <w:name w:val="footer"/>
    <w:basedOn w:val="Normal"/>
    <w:link w:val="FooterChar"/>
    <w:uiPriority w:val="99"/>
    <w:unhideWhenUsed/>
    <w:rsid w:val="00E9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BA"/>
  </w:style>
  <w:style w:type="paragraph" w:styleId="ListParagraph">
    <w:name w:val="List Paragraph"/>
    <w:basedOn w:val="Normal"/>
    <w:uiPriority w:val="34"/>
    <w:qFormat/>
    <w:rsid w:val="00B329D7"/>
    <w:pPr>
      <w:ind w:left="720"/>
      <w:contextualSpacing/>
    </w:pPr>
  </w:style>
  <w:style w:type="paragraph" w:styleId="BalloonText">
    <w:name w:val="Balloon Text"/>
    <w:basedOn w:val="Normal"/>
    <w:link w:val="BalloonTextChar"/>
    <w:uiPriority w:val="99"/>
    <w:semiHidden/>
    <w:unhideWhenUsed/>
    <w:rsid w:val="0072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Gettysburg Area School District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Davis, Amy</cp:lastModifiedBy>
  <cp:revision>2</cp:revision>
  <cp:lastPrinted>2014-05-22T18:57:00Z</cp:lastPrinted>
  <dcterms:created xsi:type="dcterms:W3CDTF">2019-11-27T15:34:00Z</dcterms:created>
  <dcterms:modified xsi:type="dcterms:W3CDTF">2019-11-27T15:34:00Z</dcterms:modified>
</cp:coreProperties>
</file>