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A5" w:rsidRDefault="00E87512" w:rsidP="00E87512">
      <w:pPr>
        <w:jc w:val="center"/>
      </w:pPr>
      <w:r>
        <w:t>Acceleration</w:t>
      </w:r>
    </w:p>
    <w:tbl>
      <w:tblPr>
        <w:tblStyle w:val="TableGrid"/>
        <w:tblW w:w="13604" w:type="dxa"/>
        <w:tblLook w:val="04A0" w:firstRow="1" w:lastRow="0" w:firstColumn="1" w:lastColumn="0" w:noHBand="0" w:noVBand="1"/>
      </w:tblPr>
      <w:tblGrid>
        <w:gridCol w:w="2455"/>
        <w:gridCol w:w="4475"/>
        <w:gridCol w:w="6674"/>
      </w:tblGrid>
      <w:tr w:rsidR="00E87512" w:rsidTr="00E35E68">
        <w:trPr>
          <w:trHeight w:val="264"/>
        </w:trPr>
        <w:tc>
          <w:tcPr>
            <w:tcW w:w="2455" w:type="dxa"/>
          </w:tcPr>
          <w:p w:rsidR="00E87512" w:rsidRDefault="00E87512" w:rsidP="00E87512">
            <w:r>
              <w:t>Option</w:t>
            </w:r>
          </w:p>
        </w:tc>
        <w:tc>
          <w:tcPr>
            <w:tcW w:w="4475" w:type="dxa"/>
          </w:tcPr>
          <w:p w:rsidR="00E87512" w:rsidRDefault="00E87512" w:rsidP="00E87512">
            <w:r>
              <w:t>Definition</w:t>
            </w:r>
          </w:p>
        </w:tc>
        <w:tc>
          <w:tcPr>
            <w:tcW w:w="6674" w:type="dxa"/>
          </w:tcPr>
          <w:p w:rsidR="00E87512" w:rsidRDefault="00E87512" w:rsidP="00E87512">
            <w:r>
              <w:t>Gifted Support Responsibilities</w:t>
            </w:r>
          </w:p>
        </w:tc>
      </w:tr>
      <w:tr w:rsidR="00E35E68" w:rsidTr="00E35E68">
        <w:trPr>
          <w:trHeight w:val="1056"/>
        </w:trPr>
        <w:tc>
          <w:tcPr>
            <w:tcW w:w="2455" w:type="dxa"/>
          </w:tcPr>
          <w:p w:rsidR="00E35E68" w:rsidRDefault="00E35E68" w:rsidP="00007EFC">
            <w:pPr>
              <w:shd w:val="clear" w:color="auto" w:fill="FFFFFF"/>
              <w:spacing w:before="48" w:after="120" w:line="288" w:lineRule="atLeast"/>
              <w:rPr>
                <w:rFonts w:ascii="Arial" w:eastAsia="Times New Roman" w:hAnsi="Arial" w:cs="Arial"/>
                <w:color w:val="000000"/>
                <w:sz w:val="20"/>
                <w:szCs w:val="20"/>
              </w:rPr>
            </w:pPr>
            <w:r>
              <w:rPr>
                <w:rFonts w:ascii="Arial" w:eastAsia="Times New Roman" w:hAnsi="Arial" w:cs="Arial"/>
                <w:color w:val="000000"/>
                <w:sz w:val="20"/>
                <w:szCs w:val="20"/>
              </w:rPr>
              <w:t>Advanced Placement</w:t>
            </w:r>
          </w:p>
        </w:tc>
        <w:tc>
          <w:tcPr>
            <w:tcW w:w="4475" w:type="dxa"/>
          </w:tcPr>
          <w:p w:rsidR="00E35E68" w:rsidRPr="00E87512" w:rsidRDefault="00E35E68" w:rsidP="00007EFC">
            <w:pPr>
              <w:shd w:val="clear" w:color="auto" w:fill="FFFFFF"/>
              <w:spacing w:after="24"/>
              <w:rPr>
                <w:rFonts w:ascii="Arial" w:eastAsia="Times New Roman" w:hAnsi="Arial" w:cs="Arial"/>
                <w:color w:val="000000"/>
                <w:sz w:val="20"/>
                <w:szCs w:val="20"/>
              </w:rPr>
            </w:pPr>
            <w:proofErr w:type="gramStart"/>
            <w:r>
              <w:rPr>
                <w:rFonts w:ascii="Arial" w:eastAsia="Times New Roman" w:hAnsi="Arial" w:cs="Arial"/>
                <w:color w:val="000000"/>
                <w:sz w:val="20"/>
                <w:szCs w:val="20"/>
              </w:rPr>
              <w:t xml:space="preserve">Courses </w:t>
            </w:r>
            <w:r w:rsidRPr="00E95F4B">
              <w:rPr>
                <w:rFonts w:ascii="Arial" w:eastAsia="Times New Roman" w:hAnsi="Arial" w:cs="Arial"/>
                <w:color w:val="000000"/>
                <w:sz w:val="20"/>
                <w:szCs w:val="20"/>
              </w:rPr>
              <w:t>de</w:t>
            </w:r>
            <w:r>
              <w:rPr>
                <w:rFonts w:ascii="Arial" w:eastAsia="Times New Roman" w:hAnsi="Arial" w:cs="Arial"/>
                <w:color w:val="000000"/>
                <w:sz w:val="20"/>
                <w:szCs w:val="20"/>
              </w:rPr>
              <w:t>signed by the College Board allows</w:t>
            </w:r>
            <w:proofErr w:type="gramEnd"/>
            <w:r w:rsidRPr="00E95F4B">
              <w:rPr>
                <w:rFonts w:ascii="Arial" w:eastAsia="Times New Roman" w:hAnsi="Arial" w:cs="Arial"/>
                <w:color w:val="000000"/>
                <w:sz w:val="20"/>
                <w:szCs w:val="20"/>
              </w:rPr>
              <w:t xml:space="preserve"> high schools to offer courses that meet criteria established by institutions of higher education. College credit may be earned with the successful completion of an AP exam in specific content areas. </w:t>
            </w:r>
          </w:p>
        </w:tc>
        <w:tc>
          <w:tcPr>
            <w:tcW w:w="6674" w:type="dxa"/>
          </w:tcPr>
          <w:p w:rsidR="00E35E68" w:rsidRDefault="00E35E68" w:rsidP="00007EFC">
            <w:pPr>
              <w:shd w:val="clear" w:color="auto" w:fill="FFFFFF"/>
              <w:spacing w:before="48" w:after="120" w:line="288" w:lineRule="atLeast"/>
              <w:rPr>
                <w:rFonts w:ascii="Arial" w:eastAsia="Times New Roman" w:hAnsi="Arial" w:cs="Arial"/>
                <w:color w:val="000000"/>
                <w:sz w:val="20"/>
                <w:szCs w:val="20"/>
              </w:rPr>
            </w:pPr>
          </w:p>
        </w:tc>
      </w:tr>
      <w:tr w:rsidR="00E35E68" w:rsidTr="00E35E68">
        <w:trPr>
          <w:trHeight w:val="1056"/>
        </w:trPr>
        <w:tc>
          <w:tcPr>
            <w:tcW w:w="2455" w:type="dxa"/>
          </w:tcPr>
          <w:p w:rsidR="00E35E68" w:rsidRDefault="00E35E68" w:rsidP="00007EFC">
            <w:r>
              <w:t>Combined Classes</w:t>
            </w:r>
          </w:p>
        </w:tc>
        <w:tc>
          <w:tcPr>
            <w:tcW w:w="4475" w:type="dxa"/>
          </w:tcPr>
          <w:p w:rsidR="00E35E68" w:rsidRDefault="00E35E68" w:rsidP="00007EFC">
            <w:pPr>
              <w:shd w:val="clear" w:color="auto" w:fill="FFFFFF"/>
              <w:spacing w:before="48" w:after="120"/>
            </w:pPr>
            <w:r w:rsidRPr="00E87512">
              <w:rPr>
                <w:rFonts w:ascii="Arial" w:eastAsia="Times New Roman" w:hAnsi="Arial" w:cs="Arial"/>
                <w:color w:val="000000"/>
                <w:sz w:val="20"/>
                <w:szCs w:val="20"/>
              </w:rPr>
              <w:t xml:space="preserve">(While not, in and of </w:t>
            </w:r>
            <w:proofErr w:type="gramStart"/>
            <w:r w:rsidRPr="00E87512">
              <w:rPr>
                <w:rFonts w:ascii="Arial" w:eastAsia="Times New Roman" w:hAnsi="Arial" w:cs="Arial"/>
                <w:color w:val="000000"/>
                <w:sz w:val="20"/>
                <w:szCs w:val="20"/>
              </w:rPr>
              <w:t>itself</w:t>
            </w:r>
            <w:proofErr w:type="gramEnd"/>
            <w:r w:rsidRPr="00E87512">
              <w:rPr>
                <w:rFonts w:ascii="Arial" w:eastAsia="Times New Roman" w:hAnsi="Arial" w:cs="Arial"/>
                <w:color w:val="000000"/>
                <w:sz w:val="20"/>
                <w:szCs w:val="20"/>
              </w:rPr>
              <w:t>, a practice designed for acceleration, in some instances (e.g., a fourth- and fifth-grade split room), this placement can allow younger students to interact academically and socially with older peers. It may or may not result in an advanced grade placement later.</w:t>
            </w:r>
          </w:p>
        </w:tc>
        <w:tc>
          <w:tcPr>
            <w:tcW w:w="6674" w:type="dxa"/>
          </w:tcPr>
          <w:p w:rsidR="00E35E68" w:rsidRDefault="00E35E68" w:rsidP="00007EFC"/>
        </w:tc>
      </w:tr>
      <w:tr w:rsidR="00E35E68" w:rsidTr="00E35E68">
        <w:trPr>
          <w:trHeight w:val="1056"/>
        </w:trPr>
        <w:tc>
          <w:tcPr>
            <w:tcW w:w="2455" w:type="dxa"/>
          </w:tcPr>
          <w:p w:rsidR="00E35E68" w:rsidRPr="00E87512" w:rsidRDefault="00E35E68" w:rsidP="00007EFC">
            <w:pPr>
              <w:shd w:val="clear" w:color="auto" w:fill="FFFFFF"/>
              <w:spacing w:before="48" w:after="120" w:line="288" w:lineRule="atLeast"/>
              <w:rPr>
                <w:rFonts w:ascii="Arial" w:eastAsia="Times New Roman" w:hAnsi="Arial" w:cs="Arial"/>
                <w:color w:val="000000"/>
                <w:sz w:val="20"/>
                <w:szCs w:val="20"/>
              </w:rPr>
            </w:pPr>
            <w:r>
              <w:rPr>
                <w:rFonts w:ascii="Arial" w:eastAsia="Times New Roman" w:hAnsi="Arial" w:cs="Arial"/>
                <w:color w:val="000000"/>
                <w:sz w:val="20"/>
                <w:szCs w:val="20"/>
              </w:rPr>
              <w:t>Concurrent/Dual Enrollment</w:t>
            </w:r>
          </w:p>
        </w:tc>
        <w:tc>
          <w:tcPr>
            <w:tcW w:w="4475" w:type="dxa"/>
          </w:tcPr>
          <w:p w:rsidR="00E35E68" w:rsidRPr="00E87512" w:rsidRDefault="00E35E68" w:rsidP="00007EFC">
            <w:pPr>
              <w:shd w:val="clear" w:color="auto" w:fill="FFFFFF"/>
              <w:spacing w:after="24"/>
              <w:rPr>
                <w:rFonts w:ascii="Arial" w:eastAsia="Times New Roman" w:hAnsi="Arial" w:cs="Arial"/>
                <w:color w:val="000000"/>
                <w:sz w:val="20"/>
                <w:szCs w:val="20"/>
              </w:rPr>
            </w:pPr>
            <w:r w:rsidRPr="00E87512">
              <w:rPr>
                <w:rFonts w:ascii="Arial" w:eastAsia="Times New Roman" w:hAnsi="Arial" w:cs="Arial"/>
                <w:color w:val="000000"/>
                <w:sz w:val="20"/>
                <w:szCs w:val="20"/>
              </w:rPr>
              <w:t>The student takes a course at one level and receives credit for a parallel course at a higher level (e.g., taking algebra at the middle school level and receiving credit at both the middle school and the high school level or taking a high school chemistry course and receiving credit for a university course upon successful completion</w:t>
            </w:r>
            <w:r>
              <w:rPr>
                <w:rFonts w:ascii="Arial" w:eastAsia="Times New Roman" w:hAnsi="Arial" w:cs="Arial"/>
                <w:color w:val="000000"/>
                <w:sz w:val="20"/>
                <w:szCs w:val="20"/>
              </w:rPr>
              <w:t>.</w:t>
            </w:r>
          </w:p>
        </w:tc>
        <w:tc>
          <w:tcPr>
            <w:tcW w:w="6674" w:type="dxa"/>
          </w:tcPr>
          <w:p w:rsidR="00E35E68" w:rsidRDefault="00E35E68" w:rsidP="00007EFC"/>
        </w:tc>
      </w:tr>
      <w:tr w:rsidR="00E35E68" w:rsidTr="00E35E68">
        <w:trPr>
          <w:trHeight w:val="1056"/>
        </w:trPr>
        <w:tc>
          <w:tcPr>
            <w:tcW w:w="2455" w:type="dxa"/>
          </w:tcPr>
          <w:p w:rsidR="00E35E68" w:rsidRDefault="00E35E68" w:rsidP="00007EFC">
            <w:r>
              <w:t>Continuous Progress</w:t>
            </w:r>
          </w:p>
        </w:tc>
        <w:tc>
          <w:tcPr>
            <w:tcW w:w="4475" w:type="dxa"/>
          </w:tcPr>
          <w:p w:rsidR="00E35E68" w:rsidRDefault="00E35E68" w:rsidP="00007EFC">
            <w:pPr>
              <w:shd w:val="clear" w:color="auto" w:fill="FFFFFF"/>
              <w:spacing w:after="24"/>
              <w:rPr>
                <w:rFonts w:ascii="Arial" w:eastAsia="Times New Roman" w:hAnsi="Arial" w:cs="Arial"/>
                <w:color w:val="000000"/>
                <w:sz w:val="20"/>
                <w:szCs w:val="20"/>
              </w:rPr>
            </w:pPr>
            <w:r w:rsidRPr="00E87512">
              <w:rPr>
                <w:rFonts w:ascii="Arial" w:eastAsia="Times New Roman" w:hAnsi="Arial" w:cs="Arial"/>
                <w:color w:val="000000"/>
                <w:sz w:val="20"/>
                <w:szCs w:val="20"/>
              </w:rPr>
              <w:t>The student is given content progressively as prior content is completed and mastered.</w:t>
            </w:r>
          </w:p>
          <w:p w:rsidR="00E35E68" w:rsidRDefault="00E35E68" w:rsidP="00007EFC">
            <w:pPr>
              <w:shd w:val="clear" w:color="auto" w:fill="FFFFFF"/>
              <w:spacing w:after="24"/>
              <w:rPr>
                <w:rFonts w:ascii="Arial" w:eastAsia="Times New Roman" w:hAnsi="Arial" w:cs="Arial"/>
                <w:color w:val="000000"/>
                <w:sz w:val="20"/>
                <w:szCs w:val="20"/>
              </w:rPr>
            </w:pPr>
          </w:p>
          <w:p w:rsidR="00E35E68" w:rsidRDefault="00E35E68" w:rsidP="00007EFC">
            <w:pPr>
              <w:shd w:val="clear" w:color="auto" w:fill="FFFFFF"/>
              <w:spacing w:after="24"/>
              <w:rPr>
                <w:rFonts w:ascii="Arial" w:eastAsia="Times New Roman" w:hAnsi="Arial" w:cs="Arial"/>
                <w:color w:val="000000"/>
                <w:sz w:val="20"/>
                <w:szCs w:val="20"/>
              </w:rPr>
            </w:pPr>
          </w:p>
          <w:p w:rsidR="00E35E68" w:rsidRPr="00E95F4B" w:rsidRDefault="00E35E68" w:rsidP="00007EFC">
            <w:pPr>
              <w:shd w:val="clear" w:color="auto" w:fill="FFFFFF"/>
              <w:spacing w:after="24"/>
              <w:rPr>
                <w:rFonts w:ascii="Arial" w:eastAsia="Times New Roman" w:hAnsi="Arial" w:cs="Arial"/>
                <w:color w:val="000000"/>
                <w:sz w:val="20"/>
                <w:szCs w:val="20"/>
              </w:rPr>
            </w:pPr>
          </w:p>
        </w:tc>
        <w:tc>
          <w:tcPr>
            <w:tcW w:w="6674" w:type="dxa"/>
          </w:tcPr>
          <w:p w:rsidR="00E35E68" w:rsidRDefault="00E35E68" w:rsidP="00007EFC"/>
        </w:tc>
      </w:tr>
      <w:tr w:rsidR="00E35E68" w:rsidTr="00E35E68">
        <w:trPr>
          <w:trHeight w:val="1056"/>
        </w:trPr>
        <w:tc>
          <w:tcPr>
            <w:tcW w:w="2455" w:type="dxa"/>
          </w:tcPr>
          <w:p w:rsidR="00E35E68" w:rsidRPr="00E87512" w:rsidRDefault="00E35E68" w:rsidP="00007EFC">
            <w:pPr>
              <w:shd w:val="clear" w:color="auto" w:fill="FFFFFF"/>
              <w:spacing w:before="48" w:after="120" w:line="288" w:lineRule="atLeast"/>
              <w:rPr>
                <w:rFonts w:ascii="Arial" w:eastAsia="Times New Roman" w:hAnsi="Arial" w:cs="Arial"/>
                <w:color w:val="000000"/>
                <w:sz w:val="20"/>
                <w:szCs w:val="20"/>
              </w:rPr>
            </w:pPr>
            <w:r w:rsidRPr="00E87512">
              <w:rPr>
                <w:rFonts w:ascii="Arial" w:eastAsia="Times New Roman" w:hAnsi="Arial" w:cs="Arial"/>
                <w:color w:val="000000"/>
                <w:sz w:val="20"/>
                <w:szCs w:val="20"/>
              </w:rPr>
              <w:t>Correspondence Courses</w:t>
            </w:r>
          </w:p>
          <w:p w:rsidR="00E35E68" w:rsidRDefault="00E35E68" w:rsidP="00007EFC"/>
        </w:tc>
        <w:tc>
          <w:tcPr>
            <w:tcW w:w="4475" w:type="dxa"/>
          </w:tcPr>
          <w:p w:rsidR="00E35E68" w:rsidRPr="00E87512" w:rsidRDefault="00E35E68" w:rsidP="00007EFC">
            <w:pPr>
              <w:shd w:val="clear" w:color="auto" w:fill="FFFFFF"/>
              <w:spacing w:after="24"/>
              <w:rPr>
                <w:rFonts w:ascii="Arial" w:eastAsia="Times New Roman" w:hAnsi="Arial" w:cs="Arial"/>
                <w:color w:val="000000"/>
                <w:sz w:val="20"/>
                <w:szCs w:val="20"/>
              </w:rPr>
            </w:pPr>
            <w:r w:rsidRPr="00E87512">
              <w:rPr>
                <w:rFonts w:ascii="Arial" w:eastAsia="Times New Roman" w:hAnsi="Arial" w:cs="Arial"/>
                <w:color w:val="000000"/>
                <w:sz w:val="20"/>
                <w:szCs w:val="20"/>
              </w:rPr>
              <w:t>The student enrolls in coursework delivered outside of normal school instruction. Instruction may be delivered traditionally by mail, but increasingly other delivery mechanisms such as Internet-based instruction and televised courses are used</w:t>
            </w:r>
            <w:r>
              <w:rPr>
                <w:rFonts w:ascii="Arial" w:eastAsia="Times New Roman" w:hAnsi="Arial" w:cs="Arial"/>
                <w:color w:val="000000"/>
                <w:sz w:val="20"/>
                <w:szCs w:val="20"/>
              </w:rPr>
              <w:t>.</w:t>
            </w:r>
          </w:p>
        </w:tc>
        <w:tc>
          <w:tcPr>
            <w:tcW w:w="6674" w:type="dxa"/>
          </w:tcPr>
          <w:p w:rsidR="00E35E68" w:rsidRDefault="00E35E68" w:rsidP="00007EFC"/>
        </w:tc>
      </w:tr>
      <w:tr w:rsidR="00E35E68" w:rsidTr="00E35E68">
        <w:trPr>
          <w:trHeight w:val="1056"/>
        </w:trPr>
        <w:tc>
          <w:tcPr>
            <w:tcW w:w="2455" w:type="dxa"/>
          </w:tcPr>
          <w:p w:rsidR="00E35E68" w:rsidRDefault="00E35E68" w:rsidP="00007EFC">
            <w:pPr>
              <w:shd w:val="clear" w:color="auto" w:fill="FFFFFF"/>
              <w:spacing w:before="48" w:after="120" w:line="288"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Credit by Examination</w:t>
            </w:r>
          </w:p>
        </w:tc>
        <w:tc>
          <w:tcPr>
            <w:tcW w:w="4475" w:type="dxa"/>
          </w:tcPr>
          <w:p w:rsidR="00E35E68" w:rsidRPr="00E87512" w:rsidRDefault="00E35E68" w:rsidP="00007EFC">
            <w:pPr>
              <w:shd w:val="clear" w:color="auto" w:fill="FFFFFF"/>
              <w:spacing w:after="24"/>
              <w:rPr>
                <w:rFonts w:ascii="Arial" w:eastAsia="Times New Roman" w:hAnsi="Arial" w:cs="Arial"/>
                <w:color w:val="000000"/>
                <w:sz w:val="20"/>
                <w:szCs w:val="20"/>
              </w:rPr>
            </w:pPr>
            <w:r w:rsidRPr="00E87512">
              <w:rPr>
                <w:rFonts w:ascii="Arial" w:eastAsia="Times New Roman" w:hAnsi="Arial" w:cs="Arial"/>
                <w:color w:val="000000"/>
                <w:sz w:val="20"/>
                <w:szCs w:val="20"/>
              </w:rPr>
              <w:t>The student is awarded advanced standing credit (e.g., in high school or college) by successfully completing some form of mastery test or activity.</w:t>
            </w:r>
          </w:p>
        </w:tc>
        <w:tc>
          <w:tcPr>
            <w:tcW w:w="6674" w:type="dxa"/>
          </w:tcPr>
          <w:p w:rsidR="00E35E68" w:rsidRDefault="00E35E68" w:rsidP="00007EFC"/>
        </w:tc>
      </w:tr>
      <w:tr w:rsidR="00E35E68" w:rsidTr="00E35E68">
        <w:trPr>
          <w:trHeight w:val="1056"/>
        </w:trPr>
        <w:tc>
          <w:tcPr>
            <w:tcW w:w="2455" w:type="dxa"/>
          </w:tcPr>
          <w:p w:rsidR="00E35E68" w:rsidRDefault="00E35E68" w:rsidP="00007EFC">
            <w:r>
              <w:t>Curriculum Compacting</w:t>
            </w:r>
          </w:p>
        </w:tc>
        <w:tc>
          <w:tcPr>
            <w:tcW w:w="4475" w:type="dxa"/>
          </w:tcPr>
          <w:p w:rsidR="00E35E68" w:rsidRDefault="00E35E68" w:rsidP="00007EFC">
            <w:r w:rsidRPr="00E87512">
              <w:rPr>
                <w:rFonts w:ascii="Arial" w:eastAsia="Times New Roman" w:hAnsi="Arial" w:cs="Arial"/>
                <w:color w:val="000000"/>
                <w:sz w:val="20"/>
                <w:szCs w:val="20"/>
              </w:rPr>
              <w:t>The student’s instruction entails reduced amounts of introductory activities, drill, and practice. Instructional experiences may also be based on relatively fewer instructional objectives compared to the general curriculum. The time gained may be used for more advanced content instruction or to participate in enrichment activities</w:t>
            </w:r>
          </w:p>
        </w:tc>
        <w:tc>
          <w:tcPr>
            <w:tcW w:w="6674" w:type="dxa"/>
          </w:tcPr>
          <w:p w:rsidR="00E35E68" w:rsidRPr="00E35E68" w:rsidRDefault="00E35E68" w:rsidP="00E35E68">
            <w:pPr>
              <w:pStyle w:val="ListParagraph"/>
              <w:numPr>
                <w:ilvl w:val="0"/>
                <w:numId w:val="2"/>
              </w:numPr>
            </w:pPr>
            <w:r w:rsidRPr="00E35E68">
              <w:t>Keep tabs with the General Education Teacher to know when a new unit is coming.  Calendars, emails, lesson plans/9 week plans</w:t>
            </w:r>
          </w:p>
          <w:p w:rsidR="00000000" w:rsidRPr="00E35E68" w:rsidRDefault="00E35E68" w:rsidP="00E35E68">
            <w:pPr>
              <w:numPr>
                <w:ilvl w:val="0"/>
                <w:numId w:val="2"/>
              </w:numPr>
            </w:pPr>
            <w:r w:rsidRPr="00E35E68">
              <w:t>Help administer pre-assessment</w:t>
            </w:r>
          </w:p>
          <w:p w:rsidR="00000000" w:rsidRPr="00E35E68" w:rsidRDefault="00E35E68" w:rsidP="00E35E68">
            <w:pPr>
              <w:numPr>
                <w:ilvl w:val="0"/>
                <w:numId w:val="2"/>
              </w:numPr>
            </w:pPr>
            <w:r w:rsidRPr="00E35E68">
              <w:t>Collaborate with classroom/content teacher to develop alternative options</w:t>
            </w:r>
          </w:p>
          <w:p w:rsidR="00000000" w:rsidRPr="00E35E68" w:rsidRDefault="00E35E68" w:rsidP="00E35E68">
            <w:pPr>
              <w:numPr>
                <w:ilvl w:val="0"/>
                <w:numId w:val="2"/>
              </w:numPr>
            </w:pPr>
            <w:r w:rsidRPr="00E35E68">
              <w:t>Start contract process, conferencing with student, developing rubric</w:t>
            </w:r>
          </w:p>
          <w:p w:rsidR="00000000" w:rsidRPr="00E35E68" w:rsidRDefault="00E35E68" w:rsidP="00E35E68">
            <w:pPr>
              <w:numPr>
                <w:ilvl w:val="0"/>
                <w:numId w:val="2"/>
              </w:numPr>
            </w:pPr>
            <w:r w:rsidRPr="00E35E68">
              <w:t>Monitor contract until it is completely drawn up</w:t>
            </w:r>
          </w:p>
          <w:p w:rsidR="00000000" w:rsidRPr="00E35E68" w:rsidRDefault="00E35E68" w:rsidP="00E35E68">
            <w:pPr>
              <w:numPr>
                <w:ilvl w:val="0"/>
                <w:numId w:val="2"/>
              </w:numPr>
            </w:pPr>
            <w:r w:rsidRPr="00E35E68">
              <w:t>Support student or teacher by finding resources, space, or opportunities for feedback</w:t>
            </w:r>
          </w:p>
          <w:p w:rsidR="00000000" w:rsidRPr="00E35E68" w:rsidRDefault="00E35E68" w:rsidP="00E35E68">
            <w:pPr>
              <w:numPr>
                <w:ilvl w:val="0"/>
                <w:numId w:val="2"/>
              </w:numPr>
            </w:pPr>
            <w:r w:rsidRPr="00E35E68">
              <w:t>Share the responsibility of monitoring Work Progress Log</w:t>
            </w:r>
          </w:p>
          <w:p w:rsidR="00000000" w:rsidRDefault="00E35E68" w:rsidP="00E35E68">
            <w:pPr>
              <w:numPr>
                <w:ilvl w:val="0"/>
                <w:numId w:val="2"/>
              </w:numPr>
            </w:pPr>
            <w:r w:rsidRPr="00E35E68">
              <w:t>Evaluate final contract</w:t>
            </w:r>
          </w:p>
          <w:p w:rsidR="00E35E68" w:rsidRPr="00E35E68" w:rsidRDefault="00E35E68" w:rsidP="00E35E68">
            <w:pPr>
              <w:numPr>
                <w:ilvl w:val="0"/>
                <w:numId w:val="2"/>
              </w:numPr>
            </w:pPr>
            <w:r>
              <w:t>Maintain records of compaction to inform present levels</w:t>
            </w:r>
            <w:bookmarkStart w:id="0" w:name="_GoBack"/>
            <w:bookmarkEnd w:id="0"/>
          </w:p>
          <w:p w:rsidR="00E35E68" w:rsidRDefault="00E35E68" w:rsidP="00007EFC"/>
        </w:tc>
      </w:tr>
      <w:tr w:rsidR="00E87512" w:rsidTr="00E35E68">
        <w:trPr>
          <w:trHeight w:val="1056"/>
        </w:trPr>
        <w:tc>
          <w:tcPr>
            <w:tcW w:w="2455" w:type="dxa"/>
          </w:tcPr>
          <w:p w:rsidR="00E87512" w:rsidRPr="00E87512" w:rsidRDefault="00E87512" w:rsidP="00E87512">
            <w:pPr>
              <w:shd w:val="clear" w:color="auto" w:fill="FFFFFF"/>
              <w:spacing w:before="48" w:after="120" w:line="288" w:lineRule="atLeast"/>
              <w:rPr>
                <w:rFonts w:ascii="Arial" w:eastAsia="Times New Roman" w:hAnsi="Arial" w:cs="Arial"/>
                <w:color w:val="000000"/>
                <w:sz w:val="20"/>
                <w:szCs w:val="20"/>
              </w:rPr>
            </w:pPr>
            <w:r w:rsidRPr="00E87512">
              <w:rPr>
                <w:rFonts w:ascii="Arial" w:eastAsia="Times New Roman" w:hAnsi="Arial" w:cs="Arial"/>
                <w:color w:val="000000"/>
                <w:sz w:val="20"/>
                <w:szCs w:val="20"/>
              </w:rPr>
              <w:t>Early Admission to Kindergarten</w:t>
            </w:r>
          </w:p>
          <w:p w:rsidR="00E87512" w:rsidRDefault="00E87512" w:rsidP="00E87512"/>
        </w:tc>
        <w:tc>
          <w:tcPr>
            <w:tcW w:w="4475" w:type="dxa"/>
          </w:tcPr>
          <w:p w:rsidR="00E87512" w:rsidRDefault="00E87512" w:rsidP="00E87512">
            <w:r w:rsidRPr="00E87512">
              <w:rPr>
                <w:rFonts w:ascii="Arial" w:eastAsia="Times New Roman" w:hAnsi="Arial" w:cs="Arial"/>
                <w:color w:val="000000"/>
                <w:sz w:val="20"/>
                <w:szCs w:val="20"/>
              </w:rPr>
              <w:t>Students enter kindergarten prior to the minimum age for school entry as set by district or state policy</w:t>
            </w:r>
            <w:r w:rsidR="00E35E68">
              <w:rPr>
                <w:rFonts w:ascii="Arial" w:eastAsia="Times New Roman" w:hAnsi="Arial" w:cs="Arial"/>
                <w:color w:val="000000"/>
                <w:sz w:val="20"/>
                <w:szCs w:val="20"/>
              </w:rPr>
              <w:t>.</w:t>
            </w:r>
          </w:p>
        </w:tc>
        <w:tc>
          <w:tcPr>
            <w:tcW w:w="6674" w:type="dxa"/>
          </w:tcPr>
          <w:p w:rsidR="00E87512" w:rsidRDefault="00E87512" w:rsidP="00E87512"/>
        </w:tc>
      </w:tr>
      <w:tr w:rsidR="00E87512" w:rsidTr="00E35E68">
        <w:trPr>
          <w:trHeight w:val="1725"/>
        </w:trPr>
        <w:tc>
          <w:tcPr>
            <w:tcW w:w="2455" w:type="dxa"/>
          </w:tcPr>
          <w:p w:rsidR="00E87512" w:rsidRDefault="00E87512" w:rsidP="00E87512">
            <w:r w:rsidRPr="00E87512">
              <w:rPr>
                <w:rFonts w:ascii="Arial" w:eastAsia="Times New Roman" w:hAnsi="Arial" w:cs="Arial"/>
                <w:color w:val="000000"/>
                <w:sz w:val="20"/>
                <w:szCs w:val="20"/>
              </w:rPr>
              <w:t>Early Admission to First Grade</w:t>
            </w:r>
          </w:p>
        </w:tc>
        <w:tc>
          <w:tcPr>
            <w:tcW w:w="4475" w:type="dxa"/>
          </w:tcPr>
          <w:p w:rsidR="00E64D99" w:rsidRPr="00E87512" w:rsidRDefault="00E64D99" w:rsidP="00E64D99">
            <w:pPr>
              <w:shd w:val="clear" w:color="auto" w:fill="FFFFFF"/>
              <w:spacing w:after="24"/>
              <w:rPr>
                <w:rFonts w:ascii="Arial" w:eastAsia="Times New Roman" w:hAnsi="Arial" w:cs="Arial"/>
                <w:color w:val="000000"/>
                <w:sz w:val="20"/>
                <w:szCs w:val="20"/>
              </w:rPr>
            </w:pPr>
            <w:r w:rsidRPr="00E87512">
              <w:rPr>
                <w:rFonts w:ascii="Arial" w:eastAsia="Times New Roman" w:hAnsi="Arial" w:cs="Arial"/>
                <w:color w:val="000000"/>
                <w:sz w:val="20"/>
                <w:szCs w:val="20"/>
              </w:rPr>
              <w:t>This practice can result from either the skipping of kindergarten, or from accelerating the student from kindergarten in what would be the student’s first year of school.</w:t>
            </w:r>
          </w:p>
          <w:p w:rsidR="00E87512" w:rsidRDefault="00E87512" w:rsidP="00E87512"/>
        </w:tc>
        <w:tc>
          <w:tcPr>
            <w:tcW w:w="6674" w:type="dxa"/>
          </w:tcPr>
          <w:p w:rsidR="00E87512" w:rsidRDefault="00E87512" w:rsidP="00E87512"/>
        </w:tc>
      </w:tr>
      <w:tr w:rsidR="00E35E68" w:rsidTr="00E35E68">
        <w:trPr>
          <w:trHeight w:val="777"/>
        </w:trPr>
        <w:tc>
          <w:tcPr>
            <w:tcW w:w="2455" w:type="dxa"/>
          </w:tcPr>
          <w:p w:rsidR="00E35E68" w:rsidRPr="00E87512" w:rsidRDefault="00E35E68" w:rsidP="00007EFC">
            <w:pPr>
              <w:shd w:val="clear" w:color="auto" w:fill="FFFFFF"/>
              <w:spacing w:before="48" w:after="120" w:line="288" w:lineRule="atLeast"/>
              <w:rPr>
                <w:rFonts w:ascii="Arial" w:eastAsia="Times New Roman" w:hAnsi="Arial" w:cs="Arial"/>
                <w:color w:val="000000"/>
                <w:sz w:val="20"/>
                <w:szCs w:val="20"/>
              </w:rPr>
            </w:pPr>
            <w:r w:rsidRPr="00E87512">
              <w:rPr>
                <w:rFonts w:ascii="Arial" w:eastAsia="Times New Roman" w:hAnsi="Arial" w:cs="Arial"/>
                <w:color w:val="000000"/>
                <w:sz w:val="20"/>
                <w:szCs w:val="20"/>
              </w:rPr>
              <w:t>Early Graduation</w:t>
            </w:r>
          </w:p>
          <w:p w:rsidR="00E35E68" w:rsidRPr="00E87512" w:rsidRDefault="00E35E68" w:rsidP="00007EFC">
            <w:pPr>
              <w:shd w:val="clear" w:color="auto" w:fill="FFFFFF"/>
              <w:spacing w:before="48" w:after="120" w:line="288" w:lineRule="atLeast"/>
              <w:rPr>
                <w:rFonts w:ascii="Arial" w:eastAsia="Times New Roman" w:hAnsi="Arial" w:cs="Arial"/>
                <w:color w:val="000000"/>
                <w:sz w:val="20"/>
                <w:szCs w:val="20"/>
              </w:rPr>
            </w:pPr>
          </w:p>
        </w:tc>
        <w:tc>
          <w:tcPr>
            <w:tcW w:w="4475" w:type="dxa"/>
          </w:tcPr>
          <w:p w:rsidR="00E35E68" w:rsidRPr="00E87512" w:rsidRDefault="00E35E68" w:rsidP="00007EFC">
            <w:pPr>
              <w:shd w:val="clear" w:color="auto" w:fill="FFFFFF"/>
              <w:spacing w:after="24"/>
              <w:rPr>
                <w:rFonts w:ascii="Arial" w:eastAsia="Times New Roman" w:hAnsi="Arial" w:cs="Arial"/>
                <w:color w:val="000000"/>
                <w:sz w:val="20"/>
                <w:szCs w:val="20"/>
              </w:rPr>
            </w:pPr>
            <w:r w:rsidRPr="00E87512">
              <w:rPr>
                <w:rFonts w:ascii="Arial" w:eastAsia="Times New Roman" w:hAnsi="Arial" w:cs="Arial"/>
                <w:color w:val="000000"/>
                <w:sz w:val="20"/>
                <w:szCs w:val="20"/>
              </w:rPr>
              <w:t xml:space="preserve">The student graduates from high school or college in three-and-a-half years or less. Generally, this is accomplished by increasing the amount of coursework undertaken each year in high school or college, but it may also be accomplished through dual/concurrent </w:t>
            </w:r>
            <w:r w:rsidRPr="00E87512">
              <w:rPr>
                <w:rFonts w:ascii="Arial" w:eastAsia="Times New Roman" w:hAnsi="Arial" w:cs="Arial"/>
                <w:color w:val="000000"/>
                <w:sz w:val="20"/>
                <w:szCs w:val="20"/>
              </w:rPr>
              <w:lastRenderedPageBreak/>
              <w:t>enrollment (see below) or extracurricular and correspondence coursework.</w:t>
            </w:r>
          </w:p>
        </w:tc>
        <w:tc>
          <w:tcPr>
            <w:tcW w:w="6674" w:type="dxa"/>
          </w:tcPr>
          <w:p w:rsidR="00E35E68" w:rsidRDefault="00E35E68" w:rsidP="00007EFC"/>
        </w:tc>
      </w:tr>
      <w:tr w:rsidR="00E35E68" w:rsidTr="00E35E68">
        <w:trPr>
          <w:trHeight w:val="777"/>
        </w:trPr>
        <w:tc>
          <w:tcPr>
            <w:tcW w:w="2455" w:type="dxa"/>
          </w:tcPr>
          <w:p w:rsidR="00E35E68" w:rsidRDefault="00E35E68" w:rsidP="00007EFC">
            <w:r>
              <w:lastRenderedPageBreak/>
              <w:t>Extra-Curricular Programs</w:t>
            </w:r>
          </w:p>
        </w:tc>
        <w:tc>
          <w:tcPr>
            <w:tcW w:w="4475" w:type="dxa"/>
          </w:tcPr>
          <w:p w:rsidR="00E35E68" w:rsidRDefault="00E35E68" w:rsidP="00007EFC">
            <w:pPr>
              <w:shd w:val="clear" w:color="auto" w:fill="FFFFFF"/>
              <w:spacing w:after="24"/>
              <w:rPr>
                <w:rFonts w:ascii="Arial" w:eastAsia="Times New Roman" w:hAnsi="Arial" w:cs="Arial"/>
                <w:color w:val="000000"/>
                <w:sz w:val="20"/>
                <w:szCs w:val="20"/>
              </w:rPr>
            </w:pPr>
            <w:r w:rsidRPr="00E87512">
              <w:rPr>
                <w:rFonts w:ascii="Arial" w:eastAsia="Times New Roman" w:hAnsi="Arial" w:cs="Arial"/>
                <w:color w:val="000000"/>
                <w:sz w:val="20"/>
                <w:szCs w:val="20"/>
              </w:rPr>
              <w:t>Students elect to enroll in coursework or after school or summer programs that confer advanced instruction and/or credit.</w:t>
            </w:r>
          </w:p>
        </w:tc>
        <w:tc>
          <w:tcPr>
            <w:tcW w:w="6674" w:type="dxa"/>
          </w:tcPr>
          <w:p w:rsidR="00E35E68" w:rsidRDefault="00E35E68" w:rsidP="00007EFC"/>
        </w:tc>
      </w:tr>
      <w:tr w:rsidR="00E87512" w:rsidTr="00E35E68">
        <w:trPr>
          <w:trHeight w:val="777"/>
        </w:trPr>
        <w:tc>
          <w:tcPr>
            <w:tcW w:w="2455" w:type="dxa"/>
          </w:tcPr>
          <w:p w:rsidR="00E87512" w:rsidRDefault="00E64D99" w:rsidP="00E35E68">
            <w:pPr>
              <w:shd w:val="clear" w:color="auto" w:fill="FFFFFF"/>
              <w:spacing w:before="100" w:beforeAutospacing="1" w:after="24" w:line="288" w:lineRule="atLeast"/>
            </w:pPr>
            <w:r>
              <w:rPr>
                <w:rFonts w:ascii="Arial" w:eastAsia="Times New Roman" w:hAnsi="Arial" w:cs="Arial"/>
                <w:color w:val="000000"/>
                <w:sz w:val="20"/>
                <w:szCs w:val="20"/>
              </w:rPr>
              <w:t>Grade Skipping</w:t>
            </w:r>
          </w:p>
        </w:tc>
        <w:tc>
          <w:tcPr>
            <w:tcW w:w="4475" w:type="dxa"/>
          </w:tcPr>
          <w:p w:rsidR="00E64D99" w:rsidRDefault="00E64D99" w:rsidP="00E64D99">
            <w:pPr>
              <w:shd w:val="clear" w:color="auto" w:fill="FFFFFF"/>
              <w:spacing w:after="24"/>
              <w:rPr>
                <w:rFonts w:ascii="Arial" w:eastAsia="Times New Roman" w:hAnsi="Arial" w:cs="Arial"/>
                <w:color w:val="000000"/>
                <w:sz w:val="20"/>
                <w:szCs w:val="20"/>
              </w:rPr>
            </w:pPr>
            <w:r w:rsidRPr="00E87512">
              <w:rPr>
                <w:rFonts w:ascii="Arial" w:eastAsia="Times New Roman" w:hAnsi="Arial" w:cs="Arial"/>
                <w:color w:val="000000"/>
                <w:sz w:val="20"/>
                <w:szCs w:val="20"/>
              </w:rPr>
              <w:t xml:space="preserve">This practice can result from skipping </w:t>
            </w:r>
            <w:r>
              <w:rPr>
                <w:rFonts w:ascii="Arial" w:eastAsia="Times New Roman" w:hAnsi="Arial" w:cs="Arial"/>
                <w:color w:val="000000"/>
                <w:sz w:val="20"/>
                <w:szCs w:val="20"/>
              </w:rPr>
              <w:t>an entire</w:t>
            </w:r>
            <w:r w:rsidRPr="00E87512">
              <w:rPr>
                <w:rFonts w:ascii="Arial" w:eastAsia="Times New Roman" w:hAnsi="Arial" w:cs="Arial"/>
                <w:color w:val="000000"/>
                <w:sz w:val="20"/>
                <w:szCs w:val="20"/>
              </w:rPr>
              <w:t xml:space="preserve"> year of school.</w:t>
            </w:r>
          </w:p>
          <w:p w:rsidR="00E35E68" w:rsidRDefault="00E35E68" w:rsidP="00E64D99">
            <w:pPr>
              <w:shd w:val="clear" w:color="auto" w:fill="FFFFFF"/>
              <w:spacing w:after="24"/>
              <w:rPr>
                <w:rFonts w:ascii="Arial" w:eastAsia="Times New Roman" w:hAnsi="Arial" w:cs="Arial"/>
                <w:color w:val="000000"/>
                <w:sz w:val="20"/>
                <w:szCs w:val="20"/>
              </w:rPr>
            </w:pPr>
          </w:p>
          <w:p w:rsidR="00E35E68" w:rsidRPr="00E87512" w:rsidRDefault="00E35E68" w:rsidP="00E64D99">
            <w:pPr>
              <w:shd w:val="clear" w:color="auto" w:fill="FFFFFF"/>
              <w:spacing w:after="24"/>
              <w:rPr>
                <w:rFonts w:ascii="Arial" w:eastAsia="Times New Roman" w:hAnsi="Arial" w:cs="Arial"/>
                <w:color w:val="000000"/>
                <w:sz w:val="20"/>
                <w:szCs w:val="20"/>
              </w:rPr>
            </w:pPr>
          </w:p>
          <w:p w:rsidR="00E87512" w:rsidRDefault="00E87512" w:rsidP="00E87512"/>
        </w:tc>
        <w:tc>
          <w:tcPr>
            <w:tcW w:w="6674" w:type="dxa"/>
          </w:tcPr>
          <w:p w:rsidR="00E87512" w:rsidRDefault="00E87512" w:rsidP="00E87512"/>
        </w:tc>
      </w:tr>
      <w:tr w:rsidR="00E35E68" w:rsidTr="00E35E68">
        <w:trPr>
          <w:trHeight w:val="149"/>
        </w:trPr>
        <w:tc>
          <w:tcPr>
            <w:tcW w:w="2455" w:type="dxa"/>
          </w:tcPr>
          <w:p w:rsidR="00E35E68" w:rsidRDefault="00E35E68" w:rsidP="00007EFC">
            <w:r>
              <w:t>Mentoring</w:t>
            </w:r>
          </w:p>
        </w:tc>
        <w:tc>
          <w:tcPr>
            <w:tcW w:w="4475" w:type="dxa"/>
          </w:tcPr>
          <w:p w:rsidR="00E35E68" w:rsidRPr="00E87512" w:rsidRDefault="00E35E68" w:rsidP="00007EFC">
            <w:pPr>
              <w:rPr>
                <w:rFonts w:ascii="Arial" w:eastAsia="Times New Roman" w:hAnsi="Arial" w:cs="Arial"/>
                <w:color w:val="000000"/>
                <w:sz w:val="20"/>
                <w:szCs w:val="20"/>
              </w:rPr>
            </w:pPr>
            <w:r>
              <w:rPr>
                <w:rFonts w:ascii="Arial" w:eastAsia="Times New Roman" w:hAnsi="Arial" w:cs="Arial"/>
                <w:color w:val="000000"/>
                <w:sz w:val="20"/>
                <w:szCs w:val="20"/>
              </w:rPr>
              <w:t>A student is paired with a mentor or expert tutor who provides advanced or more rapid pacing of instruction.</w:t>
            </w:r>
          </w:p>
        </w:tc>
        <w:tc>
          <w:tcPr>
            <w:tcW w:w="6674" w:type="dxa"/>
          </w:tcPr>
          <w:p w:rsidR="00E35E68" w:rsidRDefault="00E35E68" w:rsidP="00007EFC"/>
        </w:tc>
      </w:tr>
      <w:tr w:rsidR="00E87512" w:rsidTr="00E35E68">
        <w:trPr>
          <w:trHeight w:val="149"/>
        </w:trPr>
        <w:tc>
          <w:tcPr>
            <w:tcW w:w="2455" w:type="dxa"/>
          </w:tcPr>
          <w:p w:rsidR="00E87512" w:rsidRDefault="00E95F4B" w:rsidP="00E87512">
            <w:r>
              <w:t>Telescoping Curriculum</w:t>
            </w:r>
          </w:p>
        </w:tc>
        <w:tc>
          <w:tcPr>
            <w:tcW w:w="4475" w:type="dxa"/>
          </w:tcPr>
          <w:p w:rsidR="00E87512" w:rsidRDefault="00E95F4B" w:rsidP="00E87512">
            <w:r w:rsidRPr="00E87512">
              <w:rPr>
                <w:rFonts w:ascii="Arial" w:eastAsia="Times New Roman" w:hAnsi="Arial" w:cs="Arial"/>
                <w:color w:val="000000"/>
                <w:sz w:val="20"/>
                <w:szCs w:val="20"/>
              </w:rPr>
              <w:t>Student is provided instruction that entails less time than is normal (e. g., completing a one-year course in one semester, or three years of middle school in two). Telescoping differs from curriculum compacting in that time saved from telescoping always results in advanced grade placement. Curriculum compacting, on the other hand, does not necessarily advance grade placement</w:t>
            </w:r>
          </w:p>
        </w:tc>
        <w:tc>
          <w:tcPr>
            <w:tcW w:w="6674" w:type="dxa"/>
          </w:tcPr>
          <w:p w:rsidR="00E87512" w:rsidRDefault="00E87512" w:rsidP="00E87512"/>
        </w:tc>
      </w:tr>
    </w:tbl>
    <w:p w:rsidR="00E87512" w:rsidRPr="00E87512" w:rsidRDefault="00E87512" w:rsidP="00E87512">
      <w:pPr>
        <w:shd w:val="clear" w:color="auto" w:fill="FFFFFF"/>
        <w:spacing w:after="24" w:line="360" w:lineRule="atLeast"/>
        <w:ind w:left="720"/>
        <w:rPr>
          <w:rFonts w:ascii="Arial" w:eastAsia="Times New Roman" w:hAnsi="Arial" w:cs="Arial"/>
          <w:color w:val="000000"/>
          <w:sz w:val="20"/>
          <w:szCs w:val="20"/>
        </w:rPr>
      </w:pPr>
      <w:r w:rsidRPr="00E87512">
        <w:rPr>
          <w:rFonts w:ascii="Arial" w:eastAsia="Times New Roman" w:hAnsi="Arial" w:cs="Arial"/>
          <w:color w:val="000000"/>
          <w:sz w:val="20"/>
          <w:szCs w:val="20"/>
        </w:rPr>
        <w:t>.</w:t>
      </w:r>
    </w:p>
    <w:sectPr w:rsidR="00E87512" w:rsidRPr="00E87512" w:rsidSect="00E35E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0B35"/>
    <w:multiLevelType w:val="hybridMultilevel"/>
    <w:tmpl w:val="AAA4D8DA"/>
    <w:lvl w:ilvl="0" w:tplc="77C42550">
      <w:start w:val="1"/>
      <w:numFmt w:val="decimal"/>
      <w:lvlText w:val="%1."/>
      <w:lvlJc w:val="left"/>
      <w:pPr>
        <w:tabs>
          <w:tab w:val="num" w:pos="720"/>
        </w:tabs>
        <w:ind w:left="720" w:hanging="360"/>
      </w:pPr>
    </w:lvl>
    <w:lvl w:ilvl="1" w:tplc="E89086F4" w:tentative="1">
      <w:start w:val="1"/>
      <w:numFmt w:val="decimal"/>
      <w:lvlText w:val="%2."/>
      <w:lvlJc w:val="left"/>
      <w:pPr>
        <w:tabs>
          <w:tab w:val="num" w:pos="1440"/>
        </w:tabs>
        <w:ind w:left="1440" w:hanging="360"/>
      </w:pPr>
    </w:lvl>
    <w:lvl w:ilvl="2" w:tplc="9D30AC76" w:tentative="1">
      <w:start w:val="1"/>
      <w:numFmt w:val="decimal"/>
      <w:lvlText w:val="%3."/>
      <w:lvlJc w:val="left"/>
      <w:pPr>
        <w:tabs>
          <w:tab w:val="num" w:pos="2160"/>
        </w:tabs>
        <w:ind w:left="2160" w:hanging="360"/>
      </w:pPr>
    </w:lvl>
    <w:lvl w:ilvl="3" w:tplc="B0869F96" w:tentative="1">
      <w:start w:val="1"/>
      <w:numFmt w:val="decimal"/>
      <w:lvlText w:val="%4."/>
      <w:lvlJc w:val="left"/>
      <w:pPr>
        <w:tabs>
          <w:tab w:val="num" w:pos="2880"/>
        </w:tabs>
        <w:ind w:left="2880" w:hanging="360"/>
      </w:pPr>
    </w:lvl>
    <w:lvl w:ilvl="4" w:tplc="E956108C" w:tentative="1">
      <w:start w:val="1"/>
      <w:numFmt w:val="decimal"/>
      <w:lvlText w:val="%5."/>
      <w:lvlJc w:val="left"/>
      <w:pPr>
        <w:tabs>
          <w:tab w:val="num" w:pos="3600"/>
        </w:tabs>
        <w:ind w:left="3600" w:hanging="360"/>
      </w:pPr>
    </w:lvl>
    <w:lvl w:ilvl="5" w:tplc="509ABBBE" w:tentative="1">
      <w:start w:val="1"/>
      <w:numFmt w:val="decimal"/>
      <w:lvlText w:val="%6."/>
      <w:lvlJc w:val="left"/>
      <w:pPr>
        <w:tabs>
          <w:tab w:val="num" w:pos="4320"/>
        </w:tabs>
        <w:ind w:left="4320" w:hanging="360"/>
      </w:pPr>
    </w:lvl>
    <w:lvl w:ilvl="6" w:tplc="F3F46C88" w:tentative="1">
      <w:start w:val="1"/>
      <w:numFmt w:val="decimal"/>
      <w:lvlText w:val="%7."/>
      <w:lvlJc w:val="left"/>
      <w:pPr>
        <w:tabs>
          <w:tab w:val="num" w:pos="5040"/>
        </w:tabs>
        <w:ind w:left="5040" w:hanging="360"/>
      </w:pPr>
    </w:lvl>
    <w:lvl w:ilvl="7" w:tplc="1C147C88" w:tentative="1">
      <w:start w:val="1"/>
      <w:numFmt w:val="decimal"/>
      <w:lvlText w:val="%8."/>
      <w:lvlJc w:val="left"/>
      <w:pPr>
        <w:tabs>
          <w:tab w:val="num" w:pos="5760"/>
        </w:tabs>
        <w:ind w:left="5760" w:hanging="360"/>
      </w:pPr>
    </w:lvl>
    <w:lvl w:ilvl="8" w:tplc="01F6AFEE" w:tentative="1">
      <w:start w:val="1"/>
      <w:numFmt w:val="decimal"/>
      <w:lvlText w:val="%9."/>
      <w:lvlJc w:val="left"/>
      <w:pPr>
        <w:tabs>
          <w:tab w:val="num" w:pos="6480"/>
        </w:tabs>
        <w:ind w:left="6480" w:hanging="360"/>
      </w:pPr>
    </w:lvl>
  </w:abstractNum>
  <w:abstractNum w:abstractNumId="1">
    <w:nsid w:val="648229DC"/>
    <w:multiLevelType w:val="multilevel"/>
    <w:tmpl w:val="2864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12"/>
    <w:rsid w:val="00CE78A5"/>
    <w:rsid w:val="00E35E68"/>
    <w:rsid w:val="00E64D99"/>
    <w:rsid w:val="00E87512"/>
    <w:rsid w:val="00E9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7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512"/>
  </w:style>
  <w:style w:type="character" w:styleId="Hyperlink">
    <w:name w:val="Hyperlink"/>
    <w:basedOn w:val="DefaultParagraphFont"/>
    <w:uiPriority w:val="99"/>
    <w:semiHidden/>
    <w:unhideWhenUsed/>
    <w:rsid w:val="00E87512"/>
    <w:rPr>
      <w:color w:val="0000FF"/>
      <w:u w:val="single"/>
    </w:rPr>
  </w:style>
  <w:style w:type="paragraph" w:styleId="ListParagraph">
    <w:name w:val="List Paragraph"/>
    <w:basedOn w:val="Normal"/>
    <w:uiPriority w:val="34"/>
    <w:qFormat/>
    <w:rsid w:val="00E35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7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512"/>
  </w:style>
  <w:style w:type="character" w:styleId="Hyperlink">
    <w:name w:val="Hyperlink"/>
    <w:basedOn w:val="DefaultParagraphFont"/>
    <w:uiPriority w:val="99"/>
    <w:semiHidden/>
    <w:unhideWhenUsed/>
    <w:rsid w:val="00E87512"/>
    <w:rPr>
      <w:color w:val="0000FF"/>
      <w:u w:val="single"/>
    </w:rPr>
  </w:style>
  <w:style w:type="paragraph" w:styleId="ListParagraph">
    <w:name w:val="List Paragraph"/>
    <w:basedOn w:val="Normal"/>
    <w:uiPriority w:val="34"/>
    <w:qFormat/>
    <w:rsid w:val="00E3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10667">
      <w:bodyDiv w:val="1"/>
      <w:marLeft w:val="0"/>
      <w:marRight w:val="0"/>
      <w:marTop w:val="0"/>
      <w:marBottom w:val="0"/>
      <w:divBdr>
        <w:top w:val="none" w:sz="0" w:space="0" w:color="auto"/>
        <w:left w:val="none" w:sz="0" w:space="0" w:color="auto"/>
        <w:bottom w:val="none" w:sz="0" w:space="0" w:color="auto"/>
        <w:right w:val="none" w:sz="0" w:space="0" w:color="auto"/>
      </w:divBdr>
      <w:divsChild>
        <w:div w:id="1420172158">
          <w:marLeft w:val="360"/>
          <w:marRight w:val="0"/>
          <w:marTop w:val="0"/>
          <w:marBottom w:val="0"/>
          <w:divBdr>
            <w:top w:val="none" w:sz="0" w:space="0" w:color="auto"/>
            <w:left w:val="none" w:sz="0" w:space="0" w:color="auto"/>
            <w:bottom w:val="none" w:sz="0" w:space="0" w:color="auto"/>
            <w:right w:val="none" w:sz="0" w:space="0" w:color="auto"/>
          </w:divBdr>
        </w:div>
        <w:div w:id="1596864567">
          <w:marLeft w:val="360"/>
          <w:marRight w:val="0"/>
          <w:marTop w:val="0"/>
          <w:marBottom w:val="0"/>
          <w:divBdr>
            <w:top w:val="none" w:sz="0" w:space="0" w:color="auto"/>
            <w:left w:val="none" w:sz="0" w:space="0" w:color="auto"/>
            <w:bottom w:val="none" w:sz="0" w:space="0" w:color="auto"/>
            <w:right w:val="none" w:sz="0" w:space="0" w:color="auto"/>
          </w:divBdr>
        </w:div>
        <w:div w:id="259530994">
          <w:marLeft w:val="360"/>
          <w:marRight w:val="0"/>
          <w:marTop w:val="0"/>
          <w:marBottom w:val="0"/>
          <w:divBdr>
            <w:top w:val="none" w:sz="0" w:space="0" w:color="auto"/>
            <w:left w:val="none" w:sz="0" w:space="0" w:color="auto"/>
            <w:bottom w:val="none" w:sz="0" w:space="0" w:color="auto"/>
            <w:right w:val="none" w:sz="0" w:space="0" w:color="auto"/>
          </w:divBdr>
        </w:div>
        <w:div w:id="1859929357">
          <w:marLeft w:val="360"/>
          <w:marRight w:val="0"/>
          <w:marTop w:val="0"/>
          <w:marBottom w:val="0"/>
          <w:divBdr>
            <w:top w:val="none" w:sz="0" w:space="0" w:color="auto"/>
            <w:left w:val="none" w:sz="0" w:space="0" w:color="auto"/>
            <w:bottom w:val="none" w:sz="0" w:space="0" w:color="auto"/>
            <w:right w:val="none" w:sz="0" w:space="0" w:color="auto"/>
          </w:divBdr>
        </w:div>
        <w:div w:id="1307930252">
          <w:marLeft w:val="360"/>
          <w:marRight w:val="0"/>
          <w:marTop w:val="0"/>
          <w:marBottom w:val="0"/>
          <w:divBdr>
            <w:top w:val="none" w:sz="0" w:space="0" w:color="auto"/>
            <w:left w:val="none" w:sz="0" w:space="0" w:color="auto"/>
            <w:bottom w:val="none" w:sz="0" w:space="0" w:color="auto"/>
            <w:right w:val="none" w:sz="0" w:space="0" w:color="auto"/>
          </w:divBdr>
        </w:div>
        <w:div w:id="2093811314">
          <w:marLeft w:val="360"/>
          <w:marRight w:val="0"/>
          <w:marTop w:val="0"/>
          <w:marBottom w:val="0"/>
          <w:divBdr>
            <w:top w:val="none" w:sz="0" w:space="0" w:color="auto"/>
            <w:left w:val="none" w:sz="0" w:space="0" w:color="auto"/>
            <w:bottom w:val="none" w:sz="0" w:space="0" w:color="auto"/>
            <w:right w:val="none" w:sz="0" w:space="0" w:color="auto"/>
          </w:divBdr>
        </w:div>
        <w:div w:id="1579822865">
          <w:marLeft w:val="360"/>
          <w:marRight w:val="0"/>
          <w:marTop w:val="0"/>
          <w:marBottom w:val="0"/>
          <w:divBdr>
            <w:top w:val="none" w:sz="0" w:space="0" w:color="auto"/>
            <w:left w:val="none" w:sz="0" w:space="0" w:color="auto"/>
            <w:bottom w:val="none" w:sz="0" w:space="0" w:color="auto"/>
            <w:right w:val="none" w:sz="0" w:space="0" w:color="auto"/>
          </w:divBdr>
        </w:div>
      </w:divsChild>
    </w:div>
    <w:div w:id="13689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2012-10-14T18:26:00Z</dcterms:created>
  <dcterms:modified xsi:type="dcterms:W3CDTF">2012-10-14T19:00:00Z</dcterms:modified>
</cp:coreProperties>
</file>